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5CA4C025">
                <wp:simplePos x="0" y="0"/>
                <wp:positionH relativeFrom="column">
                  <wp:posOffset>-204470</wp:posOffset>
                </wp:positionH>
                <wp:positionV relativeFrom="paragraph">
                  <wp:posOffset>159385</wp:posOffset>
                </wp:positionV>
                <wp:extent cx="6092825" cy="3171825"/>
                <wp:effectExtent l="190500" t="133350" r="193675" b="257175"/>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171825"/>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53DF0D24"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233A89">
                              <w:rPr>
                                <w:b/>
                                <w:smallCaps/>
                                <w:color w:val="683766"/>
                                <w:sz w:val="44"/>
                                <w:szCs w:val="44"/>
                              </w:rPr>
                              <w:t xml:space="preserve"> AC</w:t>
                            </w:r>
                            <w:r w:rsidR="00E85847">
                              <w:rPr>
                                <w:b/>
                                <w:smallCaps/>
                                <w:color w:val="683766"/>
                                <w:sz w:val="44"/>
                                <w:szCs w:val="44"/>
                              </w:rPr>
                              <w:t xml:space="preserve"> BC MS</w:t>
                            </w:r>
                          </w:p>
                          <w:p w14:paraId="00C89414" w14:textId="77777777" w:rsidR="00233A89" w:rsidRPr="0092520C" w:rsidRDefault="00233A8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08F2E16E" w14:textId="1C7E22BE" w:rsidR="00C749C5" w:rsidRPr="007C19FF" w:rsidRDefault="00233A89" w:rsidP="00C749C5">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bookmarkStart w:id="0" w:name="_Hlk221807475"/>
                            <w:r>
                              <w:rPr>
                                <w:b/>
                                <w:bCs/>
                                <w:color w:val="683766"/>
                                <w:sz w:val="40"/>
                                <w:szCs w:val="40"/>
                              </w:rPr>
                              <w:t>Prestations autour des applicatifs du système d’information du Centre national de la musique (CNM)</w:t>
                            </w:r>
                          </w:p>
                          <w:bookmarkEnd w:id="0"/>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1pt;margin-top:12.55pt;width:479.75pt;height:24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9CoQ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53DF0D24"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233A89">
                        <w:rPr>
                          <w:b/>
                          <w:smallCaps/>
                          <w:color w:val="683766"/>
                          <w:sz w:val="44"/>
                          <w:szCs w:val="44"/>
                        </w:rPr>
                        <w:t xml:space="preserve"> AC</w:t>
                      </w:r>
                      <w:r w:rsidR="00E85847">
                        <w:rPr>
                          <w:b/>
                          <w:smallCaps/>
                          <w:color w:val="683766"/>
                          <w:sz w:val="44"/>
                          <w:szCs w:val="44"/>
                        </w:rPr>
                        <w:t xml:space="preserve"> BC MS</w:t>
                      </w:r>
                    </w:p>
                    <w:p w14:paraId="00C89414" w14:textId="77777777" w:rsidR="00233A89" w:rsidRPr="0092520C" w:rsidRDefault="00233A8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08F2E16E" w14:textId="1C7E22BE" w:rsidR="00C749C5" w:rsidRPr="007C19FF" w:rsidRDefault="00233A89" w:rsidP="00C749C5">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bookmarkStart w:id="1" w:name="_Hlk221807475"/>
                      <w:r>
                        <w:rPr>
                          <w:b/>
                          <w:bCs/>
                          <w:color w:val="683766"/>
                          <w:sz w:val="40"/>
                          <w:szCs w:val="40"/>
                        </w:rPr>
                        <w:t>Prestations autour des applicatifs du système d’information du Centre national de la musique (CNM)</w:t>
                      </w:r>
                    </w:p>
                    <w:bookmarkEnd w:id="1"/>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2"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77777777" w:rsidR="00A427B6" w:rsidRPr="00233A89"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233A89">
        <w:rPr>
          <w:rFonts w:ascii="Calibri" w:eastAsia="Arial" w:hAnsi="Calibri" w:cs="Calibri"/>
          <w:b/>
          <w:bCs/>
          <w:sz w:val="36"/>
          <w:szCs w:val="36"/>
          <w:lang w:val="fr" w:eastAsia="fr-FR"/>
        </w:rPr>
        <w:t>LOT n°1 :</w:t>
      </w:r>
    </w:p>
    <w:p w14:paraId="4DDBAA6D" w14:textId="6C1D17C8" w:rsidR="00233A89" w:rsidRPr="00233A89" w:rsidRDefault="00233A8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233A89">
        <w:rPr>
          <w:rFonts w:ascii="Calibri" w:eastAsia="Arial" w:hAnsi="Calibri" w:cs="Calibri"/>
          <w:b/>
          <w:bCs/>
          <w:sz w:val="36"/>
          <w:szCs w:val="36"/>
          <w:lang w:eastAsia="fr-FR"/>
        </w:rPr>
        <w:t>Assistance technique et expertise informatique dans la gestion des systèmes d’information du CNM</w:t>
      </w:r>
    </w:p>
    <w:bookmarkEnd w:id="2"/>
    <w:p w14:paraId="58FC1BDF" w14:textId="56C8BF76" w:rsidR="004A2C7E" w:rsidRPr="00DD6E07" w:rsidRDefault="004A2C7E" w:rsidP="0092520C">
      <w:pPr>
        <w:pStyle w:val="Titre1"/>
        <w:numPr>
          <w:ilvl w:val="0"/>
          <w:numId w:val="0"/>
        </w:numPr>
        <w:shd w:val="clear" w:color="auto" w:fill="DC8C00"/>
        <w:contextualSpacing/>
        <w:rPr>
          <w:color w:val="FFFFFF" w:themeColor="background1"/>
        </w:rPr>
      </w:pPr>
      <w:r>
        <w:rPr>
          <w:rFonts w:ascii="Arial" w:hAnsi="Arial"/>
          <w:sz w:val="20"/>
        </w:rPr>
        <w:br w:type="column"/>
      </w:r>
      <w:bookmarkStart w:id="3" w:name="_Toc222243911"/>
      <w:r>
        <w:rPr>
          <w:color w:val="FFFFFF" w:themeColor="background1"/>
        </w:rPr>
        <w:lastRenderedPageBreak/>
        <w:t>Préambule</w:t>
      </w:r>
      <w:bookmarkEnd w:id="3"/>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4" w:name="_Toc222243912"/>
      <w:r>
        <w:rPr>
          <w:bCs w:val="0"/>
          <w:color w:val="683766"/>
        </w:rPr>
        <w:t>Parties contractantes</w:t>
      </w:r>
      <w:bookmarkEnd w:id="4"/>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4A2C7E">
      <w:pPr>
        <w:pStyle w:val="Paragraphedeliste"/>
        <w:numPr>
          <w:ilvl w:val="0"/>
          <w:numId w:val="13"/>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5" w:name="_Toc222243913"/>
      <w:r w:rsidRPr="004A2C7E">
        <w:rPr>
          <w:bCs w:val="0"/>
          <w:color w:val="683766"/>
        </w:rPr>
        <w:t>Présentation de l’établissement</w:t>
      </w:r>
      <w:bookmarkEnd w:id="5"/>
    </w:p>
    <w:p w14:paraId="3EB7A23C" w14:textId="5986228B"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w:t>
      </w:r>
      <w:r w:rsidR="000876F3">
        <w:rPr>
          <w:sz w:val="20"/>
          <w:szCs w:val="20"/>
        </w:rPr>
        <w:t>loi</w:t>
      </w:r>
      <w:r w:rsidRPr="00DD6E07">
        <w:rPr>
          <w:sz w:val="20"/>
          <w:szCs w:val="20"/>
        </w:rPr>
        <w:t xml:space="preserve">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2E76FEEF" w14:textId="77777777" w:rsidR="004651E0" w:rsidRPr="004A2C7E" w:rsidRDefault="004651E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20F084EF" w14:textId="06293091" w:rsidR="00903516"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22243911" w:history="1">
        <w:r w:rsidR="00903516" w:rsidRPr="0095614D">
          <w:rPr>
            <w:rStyle w:val="Lienhypertexte"/>
            <w:noProof/>
          </w:rPr>
          <w:t>Préambule</w:t>
        </w:r>
        <w:r w:rsidR="00903516">
          <w:rPr>
            <w:noProof/>
            <w:webHidden/>
          </w:rPr>
          <w:tab/>
        </w:r>
        <w:r w:rsidR="00903516">
          <w:rPr>
            <w:noProof/>
            <w:webHidden/>
          </w:rPr>
          <w:tab/>
        </w:r>
        <w:r w:rsidR="00903516">
          <w:rPr>
            <w:noProof/>
            <w:webHidden/>
          </w:rPr>
          <w:fldChar w:fldCharType="begin"/>
        </w:r>
        <w:r w:rsidR="00903516">
          <w:rPr>
            <w:noProof/>
            <w:webHidden/>
          </w:rPr>
          <w:instrText xml:space="preserve"> PAGEREF _Toc222243911 \h </w:instrText>
        </w:r>
        <w:r w:rsidR="00903516">
          <w:rPr>
            <w:noProof/>
            <w:webHidden/>
          </w:rPr>
        </w:r>
        <w:r w:rsidR="00903516">
          <w:rPr>
            <w:noProof/>
            <w:webHidden/>
          </w:rPr>
          <w:fldChar w:fldCharType="separate"/>
        </w:r>
        <w:r w:rsidR="00903516">
          <w:rPr>
            <w:noProof/>
            <w:webHidden/>
          </w:rPr>
          <w:t>2</w:t>
        </w:r>
        <w:r w:rsidR="00903516">
          <w:rPr>
            <w:noProof/>
            <w:webHidden/>
          </w:rPr>
          <w:fldChar w:fldCharType="end"/>
        </w:r>
      </w:hyperlink>
    </w:p>
    <w:p w14:paraId="46289778" w14:textId="7CAE1274" w:rsidR="00903516" w:rsidRDefault="00903516">
      <w:pPr>
        <w:pStyle w:val="TM2"/>
        <w:tabs>
          <w:tab w:val="right" w:leader="dot" w:pos="9062"/>
        </w:tabs>
        <w:rPr>
          <w:rFonts w:eastAsiaTheme="minorEastAsia"/>
          <w:i w:val="0"/>
          <w:noProof/>
          <w:kern w:val="2"/>
          <w:sz w:val="24"/>
          <w:szCs w:val="24"/>
          <w:lang w:eastAsia="fr-FR"/>
          <w14:ligatures w14:val="standardContextual"/>
        </w:rPr>
      </w:pPr>
      <w:hyperlink w:anchor="_Toc222243912" w:history="1">
        <w:r w:rsidRPr="0095614D">
          <w:rPr>
            <w:rStyle w:val="Lienhypertexte"/>
            <w:noProof/>
          </w:rPr>
          <w:t>Parties contractantes</w:t>
        </w:r>
        <w:r>
          <w:rPr>
            <w:noProof/>
            <w:webHidden/>
          </w:rPr>
          <w:tab/>
        </w:r>
        <w:r>
          <w:rPr>
            <w:noProof/>
            <w:webHidden/>
          </w:rPr>
          <w:fldChar w:fldCharType="begin"/>
        </w:r>
        <w:r>
          <w:rPr>
            <w:noProof/>
            <w:webHidden/>
          </w:rPr>
          <w:instrText xml:space="preserve"> PAGEREF _Toc222243912 \h </w:instrText>
        </w:r>
        <w:r>
          <w:rPr>
            <w:noProof/>
            <w:webHidden/>
          </w:rPr>
        </w:r>
        <w:r>
          <w:rPr>
            <w:noProof/>
            <w:webHidden/>
          </w:rPr>
          <w:fldChar w:fldCharType="separate"/>
        </w:r>
        <w:r>
          <w:rPr>
            <w:noProof/>
            <w:webHidden/>
          </w:rPr>
          <w:t>2</w:t>
        </w:r>
        <w:r>
          <w:rPr>
            <w:noProof/>
            <w:webHidden/>
          </w:rPr>
          <w:fldChar w:fldCharType="end"/>
        </w:r>
      </w:hyperlink>
    </w:p>
    <w:p w14:paraId="1E47BDD9" w14:textId="4A58A3BD" w:rsidR="00903516" w:rsidRDefault="00903516">
      <w:pPr>
        <w:pStyle w:val="TM2"/>
        <w:tabs>
          <w:tab w:val="right" w:leader="dot" w:pos="9062"/>
        </w:tabs>
        <w:rPr>
          <w:rFonts w:eastAsiaTheme="minorEastAsia"/>
          <w:i w:val="0"/>
          <w:noProof/>
          <w:kern w:val="2"/>
          <w:sz w:val="24"/>
          <w:szCs w:val="24"/>
          <w:lang w:eastAsia="fr-FR"/>
          <w14:ligatures w14:val="standardContextual"/>
        </w:rPr>
      </w:pPr>
      <w:hyperlink w:anchor="_Toc222243913" w:history="1">
        <w:r w:rsidRPr="0095614D">
          <w:rPr>
            <w:rStyle w:val="Lienhypertexte"/>
            <w:noProof/>
          </w:rPr>
          <w:t>Présentation de l’établissement</w:t>
        </w:r>
        <w:r>
          <w:rPr>
            <w:noProof/>
            <w:webHidden/>
          </w:rPr>
          <w:tab/>
        </w:r>
        <w:r>
          <w:rPr>
            <w:noProof/>
            <w:webHidden/>
          </w:rPr>
          <w:fldChar w:fldCharType="begin"/>
        </w:r>
        <w:r>
          <w:rPr>
            <w:noProof/>
            <w:webHidden/>
          </w:rPr>
          <w:instrText xml:space="preserve"> PAGEREF _Toc222243913 \h </w:instrText>
        </w:r>
        <w:r>
          <w:rPr>
            <w:noProof/>
            <w:webHidden/>
          </w:rPr>
        </w:r>
        <w:r>
          <w:rPr>
            <w:noProof/>
            <w:webHidden/>
          </w:rPr>
          <w:fldChar w:fldCharType="separate"/>
        </w:r>
        <w:r>
          <w:rPr>
            <w:noProof/>
            <w:webHidden/>
          </w:rPr>
          <w:t>2</w:t>
        </w:r>
        <w:r>
          <w:rPr>
            <w:noProof/>
            <w:webHidden/>
          </w:rPr>
          <w:fldChar w:fldCharType="end"/>
        </w:r>
      </w:hyperlink>
    </w:p>
    <w:p w14:paraId="414AECD9" w14:textId="011EE79A" w:rsidR="00903516" w:rsidRDefault="00903516">
      <w:pPr>
        <w:pStyle w:val="TM1"/>
        <w:rPr>
          <w:rFonts w:eastAsiaTheme="minorEastAsia"/>
          <w:b w:val="0"/>
          <w:noProof/>
          <w:kern w:val="2"/>
          <w:sz w:val="24"/>
          <w:szCs w:val="24"/>
          <w:lang w:eastAsia="fr-FR"/>
          <w14:ligatures w14:val="standardContextual"/>
        </w:rPr>
      </w:pPr>
      <w:hyperlink w:anchor="_Toc222243914" w:history="1">
        <w:r w:rsidRPr="0095614D">
          <w:rPr>
            <w:rStyle w:val="Lienhypertexte"/>
            <w:noProof/>
          </w:rPr>
          <w:t>ARTICLE 1-</w:t>
        </w:r>
        <w:r>
          <w:rPr>
            <w:rFonts w:eastAsiaTheme="minorEastAsia"/>
            <w:b w:val="0"/>
            <w:noProof/>
            <w:kern w:val="2"/>
            <w:sz w:val="24"/>
            <w:szCs w:val="24"/>
            <w:lang w:eastAsia="fr-FR"/>
            <w14:ligatures w14:val="standardContextual"/>
          </w:rPr>
          <w:tab/>
        </w:r>
        <w:r w:rsidRPr="0095614D">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_Toc222243914 \h </w:instrText>
        </w:r>
        <w:r>
          <w:rPr>
            <w:noProof/>
            <w:webHidden/>
          </w:rPr>
        </w:r>
        <w:r>
          <w:rPr>
            <w:noProof/>
            <w:webHidden/>
          </w:rPr>
          <w:fldChar w:fldCharType="separate"/>
        </w:r>
        <w:r>
          <w:rPr>
            <w:noProof/>
            <w:webHidden/>
          </w:rPr>
          <w:t>6</w:t>
        </w:r>
        <w:r>
          <w:rPr>
            <w:noProof/>
            <w:webHidden/>
          </w:rPr>
          <w:fldChar w:fldCharType="end"/>
        </w:r>
      </w:hyperlink>
    </w:p>
    <w:p w14:paraId="726D1174" w14:textId="4F556359" w:rsidR="00903516" w:rsidRDefault="00903516">
      <w:pPr>
        <w:pStyle w:val="TM1"/>
        <w:rPr>
          <w:rFonts w:eastAsiaTheme="minorEastAsia"/>
          <w:b w:val="0"/>
          <w:noProof/>
          <w:kern w:val="2"/>
          <w:sz w:val="24"/>
          <w:szCs w:val="24"/>
          <w:lang w:eastAsia="fr-FR"/>
          <w14:ligatures w14:val="standardContextual"/>
        </w:rPr>
      </w:pPr>
      <w:hyperlink w:anchor="_Toc222243915" w:history="1">
        <w:r w:rsidRPr="0095614D">
          <w:rPr>
            <w:rStyle w:val="Lienhypertexte"/>
            <w:noProof/>
          </w:rPr>
          <w:t xml:space="preserve">ARTICLE 1 </w:t>
        </w:r>
        <w:r>
          <w:rPr>
            <w:rFonts w:eastAsiaTheme="minorEastAsia"/>
            <w:b w:val="0"/>
            <w:noProof/>
            <w:kern w:val="2"/>
            <w:sz w:val="24"/>
            <w:szCs w:val="24"/>
            <w:lang w:eastAsia="fr-FR"/>
            <w14:ligatures w14:val="standardContextual"/>
          </w:rPr>
          <w:tab/>
        </w:r>
        <w:r w:rsidRPr="0095614D">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_Toc222243915 \h </w:instrText>
        </w:r>
        <w:r>
          <w:rPr>
            <w:noProof/>
            <w:webHidden/>
          </w:rPr>
        </w:r>
        <w:r>
          <w:rPr>
            <w:noProof/>
            <w:webHidden/>
          </w:rPr>
          <w:fldChar w:fldCharType="separate"/>
        </w:r>
        <w:r>
          <w:rPr>
            <w:noProof/>
            <w:webHidden/>
          </w:rPr>
          <w:t>6</w:t>
        </w:r>
        <w:r>
          <w:rPr>
            <w:noProof/>
            <w:webHidden/>
          </w:rPr>
          <w:fldChar w:fldCharType="end"/>
        </w:r>
      </w:hyperlink>
    </w:p>
    <w:p w14:paraId="5D437A10" w14:textId="0B3E1D80" w:rsidR="00903516" w:rsidRDefault="00903516">
      <w:pPr>
        <w:pStyle w:val="TM1"/>
        <w:rPr>
          <w:rFonts w:eastAsiaTheme="minorEastAsia"/>
          <w:b w:val="0"/>
          <w:noProof/>
          <w:kern w:val="2"/>
          <w:sz w:val="24"/>
          <w:szCs w:val="24"/>
          <w:lang w:eastAsia="fr-FR"/>
          <w14:ligatures w14:val="standardContextual"/>
        </w:rPr>
      </w:pPr>
      <w:hyperlink w:anchor="_Toc222243916" w:history="1">
        <w:r w:rsidRPr="0095614D">
          <w:rPr>
            <w:rStyle w:val="Lienhypertexte"/>
            <w:noProof/>
          </w:rPr>
          <w:t xml:space="preserve">ARTICLE 1 </w:t>
        </w:r>
        <w:r>
          <w:rPr>
            <w:rFonts w:eastAsiaTheme="minorEastAsia"/>
            <w:b w:val="0"/>
            <w:noProof/>
            <w:kern w:val="2"/>
            <w:sz w:val="24"/>
            <w:szCs w:val="24"/>
            <w:lang w:eastAsia="fr-FR"/>
            <w14:ligatures w14:val="standardContextual"/>
          </w:rPr>
          <w:tab/>
        </w:r>
        <w:r w:rsidRPr="0095614D">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_Toc222243916 \h </w:instrText>
        </w:r>
        <w:r>
          <w:rPr>
            <w:noProof/>
            <w:webHidden/>
          </w:rPr>
        </w:r>
        <w:r>
          <w:rPr>
            <w:noProof/>
            <w:webHidden/>
          </w:rPr>
          <w:fldChar w:fldCharType="separate"/>
        </w:r>
        <w:r>
          <w:rPr>
            <w:noProof/>
            <w:webHidden/>
          </w:rPr>
          <w:t>7</w:t>
        </w:r>
        <w:r>
          <w:rPr>
            <w:noProof/>
            <w:webHidden/>
          </w:rPr>
          <w:fldChar w:fldCharType="end"/>
        </w:r>
      </w:hyperlink>
    </w:p>
    <w:p w14:paraId="00AE9973" w14:textId="05AAEFDB" w:rsidR="00903516" w:rsidRDefault="00903516">
      <w:pPr>
        <w:pStyle w:val="TM1"/>
        <w:rPr>
          <w:rFonts w:eastAsiaTheme="minorEastAsia"/>
          <w:b w:val="0"/>
          <w:noProof/>
          <w:kern w:val="2"/>
          <w:sz w:val="24"/>
          <w:szCs w:val="24"/>
          <w:lang w:eastAsia="fr-FR"/>
          <w14:ligatures w14:val="standardContextual"/>
        </w:rPr>
      </w:pPr>
      <w:hyperlink w:anchor="_Toc222243917" w:history="1">
        <w:r w:rsidRPr="0095614D">
          <w:rPr>
            <w:rStyle w:val="Lienhypertexte"/>
            <w:noProof/>
          </w:rPr>
          <w:t>ARTICLE 2-</w:t>
        </w:r>
        <w:r>
          <w:rPr>
            <w:rFonts w:eastAsiaTheme="minorEastAsia"/>
            <w:b w:val="0"/>
            <w:noProof/>
            <w:kern w:val="2"/>
            <w:sz w:val="24"/>
            <w:szCs w:val="24"/>
            <w:lang w:eastAsia="fr-FR"/>
            <w14:ligatures w14:val="standardContextual"/>
          </w:rPr>
          <w:tab/>
        </w:r>
        <w:r w:rsidRPr="0095614D">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_Toc222243917 \h </w:instrText>
        </w:r>
        <w:r>
          <w:rPr>
            <w:noProof/>
            <w:webHidden/>
          </w:rPr>
        </w:r>
        <w:r>
          <w:rPr>
            <w:noProof/>
            <w:webHidden/>
          </w:rPr>
          <w:fldChar w:fldCharType="separate"/>
        </w:r>
        <w:r>
          <w:rPr>
            <w:noProof/>
            <w:webHidden/>
          </w:rPr>
          <w:t>10</w:t>
        </w:r>
        <w:r>
          <w:rPr>
            <w:noProof/>
            <w:webHidden/>
          </w:rPr>
          <w:fldChar w:fldCharType="end"/>
        </w:r>
      </w:hyperlink>
    </w:p>
    <w:p w14:paraId="454177E4" w14:textId="322F2C41"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18" w:history="1">
        <w:r w:rsidRPr="0095614D">
          <w:rPr>
            <w:rStyle w:val="Lienhypertexte"/>
            <w:noProof/>
          </w:rPr>
          <w:t>Article 2.1-</w:t>
        </w:r>
        <w:r>
          <w:rPr>
            <w:rFonts w:eastAsiaTheme="minorEastAsia"/>
            <w:i w:val="0"/>
            <w:noProof/>
            <w:kern w:val="2"/>
            <w:sz w:val="24"/>
            <w:szCs w:val="24"/>
            <w:lang w:eastAsia="fr-FR"/>
            <w14:ligatures w14:val="standardContextual"/>
          </w:rPr>
          <w:tab/>
        </w:r>
        <w:r w:rsidRPr="0095614D">
          <w:rPr>
            <w:rStyle w:val="Lienhypertexte"/>
            <w:noProof/>
          </w:rPr>
          <w:t>Objet de l’accord-cadre</w:t>
        </w:r>
        <w:r>
          <w:rPr>
            <w:noProof/>
            <w:webHidden/>
          </w:rPr>
          <w:tab/>
        </w:r>
        <w:r>
          <w:rPr>
            <w:noProof/>
            <w:webHidden/>
          </w:rPr>
          <w:fldChar w:fldCharType="begin"/>
        </w:r>
        <w:r>
          <w:rPr>
            <w:noProof/>
            <w:webHidden/>
          </w:rPr>
          <w:instrText xml:space="preserve"> PAGEREF _Toc222243918 \h </w:instrText>
        </w:r>
        <w:r>
          <w:rPr>
            <w:noProof/>
            <w:webHidden/>
          </w:rPr>
        </w:r>
        <w:r>
          <w:rPr>
            <w:noProof/>
            <w:webHidden/>
          </w:rPr>
          <w:fldChar w:fldCharType="separate"/>
        </w:r>
        <w:r>
          <w:rPr>
            <w:noProof/>
            <w:webHidden/>
          </w:rPr>
          <w:t>10</w:t>
        </w:r>
        <w:r>
          <w:rPr>
            <w:noProof/>
            <w:webHidden/>
          </w:rPr>
          <w:fldChar w:fldCharType="end"/>
        </w:r>
      </w:hyperlink>
    </w:p>
    <w:p w14:paraId="7BA1389F" w14:textId="59AA6D2D"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19" w:history="1">
        <w:r w:rsidRPr="0095614D">
          <w:rPr>
            <w:rStyle w:val="Lienhypertexte"/>
            <w:noProof/>
          </w:rPr>
          <w:t>Article 2.2-</w:t>
        </w:r>
        <w:r>
          <w:rPr>
            <w:rFonts w:eastAsiaTheme="minorEastAsia"/>
            <w:i w:val="0"/>
            <w:noProof/>
            <w:kern w:val="2"/>
            <w:sz w:val="24"/>
            <w:szCs w:val="24"/>
            <w:lang w:eastAsia="fr-FR"/>
            <w14:ligatures w14:val="standardContextual"/>
          </w:rPr>
          <w:tab/>
        </w:r>
        <w:r w:rsidRPr="0095614D">
          <w:rPr>
            <w:rStyle w:val="Lienhypertexte"/>
            <w:noProof/>
          </w:rPr>
          <w:t>Décomposition de l’accord-cadre</w:t>
        </w:r>
        <w:r>
          <w:rPr>
            <w:noProof/>
            <w:webHidden/>
          </w:rPr>
          <w:tab/>
        </w:r>
        <w:r>
          <w:rPr>
            <w:noProof/>
            <w:webHidden/>
          </w:rPr>
          <w:fldChar w:fldCharType="begin"/>
        </w:r>
        <w:r>
          <w:rPr>
            <w:noProof/>
            <w:webHidden/>
          </w:rPr>
          <w:instrText xml:space="preserve"> PAGEREF _Toc222243919 \h </w:instrText>
        </w:r>
        <w:r>
          <w:rPr>
            <w:noProof/>
            <w:webHidden/>
          </w:rPr>
        </w:r>
        <w:r>
          <w:rPr>
            <w:noProof/>
            <w:webHidden/>
          </w:rPr>
          <w:fldChar w:fldCharType="separate"/>
        </w:r>
        <w:r>
          <w:rPr>
            <w:noProof/>
            <w:webHidden/>
          </w:rPr>
          <w:t>10</w:t>
        </w:r>
        <w:r>
          <w:rPr>
            <w:noProof/>
            <w:webHidden/>
          </w:rPr>
          <w:fldChar w:fldCharType="end"/>
        </w:r>
      </w:hyperlink>
    </w:p>
    <w:p w14:paraId="73062C69" w14:textId="676F4012"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20" w:history="1">
        <w:r w:rsidRPr="0095614D">
          <w:rPr>
            <w:rStyle w:val="Lienhypertexte"/>
            <w:noProof/>
          </w:rPr>
          <w:t>Article 2.3-</w:t>
        </w:r>
        <w:r>
          <w:rPr>
            <w:rFonts w:eastAsiaTheme="minorEastAsia"/>
            <w:i w:val="0"/>
            <w:noProof/>
            <w:kern w:val="2"/>
            <w:sz w:val="24"/>
            <w:szCs w:val="24"/>
            <w:lang w:eastAsia="fr-FR"/>
            <w14:ligatures w14:val="standardContextual"/>
          </w:rPr>
          <w:tab/>
        </w:r>
        <w:r w:rsidRPr="0095614D">
          <w:rPr>
            <w:rStyle w:val="Lienhypertexte"/>
            <w:noProof/>
          </w:rPr>
          <w:t>Forme de l’accord-cadre</w:t>
        </w:r>
        <w:r>
          <w:rPr>
            <w:noProof/>
            <w:webHidden/>
          </w:rPr>
          <w:tab/>
        </w:r>
        <w:r>
          <w:rPr>
            <w:noProof/>
            <w:webHidden/>
          </w:rPr>
          <w:fldChar w:fldCharType="begin"/>
        </w:r>
        <w:r>
          <w:rPr>
            <w:noProof/>
            <w:webHidden/>
          </w:rPr>
          <w:instrText xml:space="preserve"> PAGEREF _Toc222243920 \h </w:instrText>
        </w:r>
        <w:r>
          <w:rPr>
            <w:noProof/>
            <w:webHidden/>
          </w:rPr>
        </w:r>
        <w:r>
          <w:rPr>
            <w:noProof/>
            <w:webHidden/>
          </w:rPr>
          <w:fldChar w:fldCharType="separate"/>
        </w:r>
        <w:r>
          <w:rPr>
            <w:noProof/>
            <w:webHidden/>
          </w:rPr>
          <w:t>10</w:t>
        </w:r>
        <w:r>
          <w:rPr>
            <w:noProof/>
            <w:webHidden/>
          </w:rPr>
          <w:fldChar w:fldCharType="end"/>
        </w:r>
      </w:hyperlink>
    </w:p>
    <w:p w14:paraId="4EE2B3B3" w14:textId="5AFF4A6C"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21" w:history="1">
        <w:r w:rsidRPr="0095614D">
          <w:rPr>
            <w:rStyle w:val="Lienhypertexte"/>
            <w:noProof/>
          </w:rPr>
          <w:t>Article 2.4-</w:t>
        </w:r>
        <w:r>
          <w:rPr>
            <w:rFonts w:eastAsiaTheme="minorEastAsia"/>
            <w:i w:val="0"/>
            <w:noProof/>
            <w:kern w:val="2"/>
            <w:sz w:val="24"/>
            <w:szCs w:val="24"/>
            <w:lang w:eastAsia="fr-FR"/>
            <w14:ligatures w14:val="standardContextual"/>
          </w:rPr>
          <w:tab/>
        </w:r>
        <w:r w:rsidRPr="0095614D">
          <w:rPr>
            <w:rStyle w:val="Lienhypertexte"/>
            <w:noProof/>
          </w:rPr>
          <w:t>Représentation du titulaire</w:t>
        </w:r>
        <w:r>
          <w:rPr>
            <w:noProof/>
            <w:webHidden/>
          </w:rPr>
          <w:tab/>
        </w:r>
        <w:r>
          <w:rPr>
            <w:noProof/>
            <w:webHidden/>
          </w:rPr>
          <w:fldChar w:fldCharType="begin"/>
        </w:r>
        <w:r>
          <w:rPr>
            <w:noProof/>
            <w:webHidden/>
          </w:rPr>
          <w:instrText xml:space="preserve"> PAGEREF _Toc222243921 \h </w:instrText>
        </w:r>
        <w:r>
          <w:rPr>
            <w:noProof/>
            <w:webHidden/>
          </w:rPr>
        </w:r>
        <w:r>
          <w:rPr>
            <w:noProof/>
            <w:webHidden/>
          </w:rPr>
          <w:fldChar w:fldCharType="separate"/>
        </w:r>
        <w:r>
          <w:rPr>
            <w:noProof/>
            <w:webHidden/>
          </w:rPr>
          <w:t>11</w:t>
        </w:r>
        <w:r>
          <w:rPr>
            <w:noProof/>
            <w:webHidden/>
          </w:rPr>
          <w:fldChar w:fldCharType="end"/>
        </w:r>
      </w:hyperlink>
    </w:p>
    <w:p w14:paraId="6A14C818" w14:textId="6638C73F"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22" w:history="1">
        <w:r w:rsidRPr="0095614D">
          <w:rPr>
            <w:rStyle w:val="Lienhypertexte"/>
            <w:noProof/>
          </w:rPr>
          <w:t>Article 2.5-</w:t>
        </w:r>
        <w:r>
          <w:rPr>
            <w:rFonts w:eastAsiaTheme="minorEastAsia"/>
            <w:i w:val="0"/>
            <w:noProof/>
            <w:kern w:val="2"/>
            <w:sz w:val="24"/>
            <w:szCs w:val="24"/>
            <w:lang w:eastAsia="fr-FR"/>
            <w14:ligatures w14:val="standardContextual"/>
          </w:rPr>
          <w:tab/>
        </w:r>
        <w:r w:rsidRPr="0095614D">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_Toc222243922 \h </w:instrText>
        </w:r>
        <w:r>
          <w:rPr>
            <w:noProof/>
            <w:webHidden/>
          </w:rPr>
        </w:r>
        <w:r>
          <w:rPr>
            <w:noProof/>
            <w:webHidden/>
          </w:rPr>
          <w:fldChar w:fldCharType="separate"/>
        </w:r>
        <w:r>
          <w:rPr>
            <w:noProof/>
            <w:webHidden/>
          </w:rPr>
          <w:t>11</w:t>
        </w:r>
        <w:r>
          <w:rPr>
            <w:noProof/>
            <w:webHidden/>
          </w:rPr>
          <w:fldChar w:fldCharType="end"/>
        </w:r>
      </w:hyperlink>
    </w:p>
    <w:p w14:paraId="3A4D3A67" w14:textId="7538D2E9"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23" w:history="1">
        <w:r w:rsidRPr="0095614D">
          <w:rPr>
            <w:rStyle w:val="Lienhypertexte"/>
            <w:noProof/>
          </w:rPr>
          <w:t>Article 2.6-</w:t>
        </w:r>
        <w:r>
          <w:rPr>
            <w:rFonts w:eastAsiaTheme="minorEastAsia"/>
            <w:i w:val="0"/>
            <w:noProof/>
            <w:kern w:val="2"/>
            <w:sz w:val="24"/>
            <w:szCs w:val="24"/>
            <w:lang w:eastAsia="fr-FR"/>
            <w14:ligatures w14:val="standardContextual"/>
          </w:rPr>
          <w:tab/>
        </w:r>
        <w:r w:rsidRPr="0095614D">
          <w:rPr>
            <w:rStyle w:val="Lienhypertexte"/>
            <w:noProof/>
          </w:rPr>
          <w:t>Notification des modifications portant sur la situation juridique ou économique du titulaire</w:t>
        </w:r>
        <w:r>
          <w:rPr>
            <w:noProof/>
            <w:webHidden/>
          </w:rPr>
          <w:tab/>
        </w:r>
        <w:r>
          <w:rPr>
            <w:noProof/>
            <w:webHidden/>
          </w:rPr>
          <w:tab/>
        </w:r>
        <w:r>
          <w:rPr>
            <w:noProof/>
            <w:webHidden/>
          </w:rPr>
          <w:fldChar w:fldCharType="begin"/>
        </w:r>
        <w:r>
          <w:rPr>
            <w:noProof/>
            <w:webHidden/>
          </w:rPr>
          <w:instrText xml:space="preserve"> PAGEREF _Toc222243923 \h </w:instrText>
        </w:r>
        <w:r>
          <w:rPr>
            <w:noProof/>
            <w:webHidden/>
          </w:rPr>
        </w:r>
        <w:r>
          <w:rPr>
            <w:noProof/>
            <w:webHidden/>
          </w:rPr>
          <w:fldChar w:fldCharType="separate"/>
        </w:r>
        <w:r>
          <w:rPr>
            <w:noProof/>
            <w:webHidden/>
          </w:rPr>
          <w:t>12</w:t>
        </w:r>
        <w:r>
          <w:rPr>
            <w:noProof/>
            <w:webHidden/>
          </w:rPr>
          <w:fldChar w:fldCharType="end"/>
        </w:r>
      </w:hyperlink>
    </w:p>
    <w:p w14:paraId="3FC65AA8" w14:textId="20103DEA"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24" w:history="1">
        <w:r w:rsidRPr="0095614D">
          <w:rPr>
            <w:rStyle w:val="Lienhypertexte"/>
            <w:noProof/>
          </w:rPr>
          <w:t>Article 2.7-</w:t>
        </w:r>
        <w:r>
          <w:rPr>
            <w:rFonts w:eastAsiaTheme="minorEastAsia"/>
            <w:i w:val="0"/>
            <w:noProof/>
            <w:kern w:val="2"/>
            <w:sz w:val="24"/>
            <w:szCs w:val="24"/>
            <w:lang w:eastAsia="fr-FR"/>
            <w14:ligatures w14:val="standardContextual"/>
          </w:rPr>
          <w:tab/>
        </w:r>
        <w:r w:rsidRPr="0095614D">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_Toc222243924 \h </w:instrText>
        </w:r>
        <w:r>
          <w:rPr>
            <w:noProof/>
            <w:webHidden/>
          </w:rPr>
        </w:r>
        <w:r>
          <w:rPr>
            <w:noProof/>
            <w:webHidden/>
          </w:rPr>
          <w:fldChar w:fldCharType="separate"/>
        </w:r>
        <w:r>
          <w:rPr>
            <w:noProof/>
            <w:webHidden/>
          </w:rPr>
          <w:t>12</w:t>
        </w:r>
        <w:r>
          <w:rPr>
            <w:noProof/>
            <w:webHidden/>
          </w:rPr>
          <w:fldChar w:fldCharType="end"/>
        </w:r>
      </w:hyperlink>
    </w:p>
    <w:p w14:paraId="3790C5AF" w14:textId="3FB67B95"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25" w:history="1">
        <w:r w:rsidRPr="0095614D">
          <w:rPr>
            <w:rStyle w:val="Lienhypertexte"/>
            <w:noProof/>
          </w:rPr>
          <w:t>Article 2.8-</w:t>
        </w:r>
        <w:r>
          <w:rPr>
            <w:rFonts w:eastAsiaTheme="minorEastAsia"/>
            <w:i w:val="0"/>
            <w:noProof/>
            <w:kern w:val="2"/>
            <w:sz w:val="24"/>
            <w:szCs w:val="24"/>
            <w:lang w:eastAsia="fr-FR"/>
            <w14:ligatures w14:val="standardContextual"/>
          </w:rPr>
          <w:tab/>
        </w:r>
        <w:r w:rsidRPr="0095614D">
          <w:rPr>
            <w:rStyle w:val="Lienhypertexte"/>
            <w:noProof/>
          </w:rPr>
          <w:t>Ordre de service</w:t>
        </w:r>
        <w:r>
          <w:rPr>
            <w:noProof/>
            <w:webHidden/>
          </w:rPr>
          <w:tab/>
        </w:r>
        <w:r>
          <w:rPr>
            <w:noProof/>
            <w:webHidden/>
          </w:rPr>
          <w:fldChar w:fldCharType="begin"/>
        </w:r>
        <w:r>
          <w:rPr>
            <w:noProof/>
            <w:webHidden/>
          </w:rPr>
          <w:instrText xml:space="preserve"> PAGEREF _Toc222243925 \h </w:instrText>
        </w:r>
        <w:r>
          <w:rPr>
            <w:noProof/>
            <w:webHidden/>
          </w:rPr>
        </w:r>
        <w:r>
          <w:rPr>
            <w:noProof/>
            <w:webHidden/>
          </w:rPr>
          <w:fldChar w:fldCharType="separate"/>
        </w:r>
        <w:r>
          <w:rPr>
            <w:noProof/>
            <w:webHidden/>
          </w:rPr>
          <w:t>13</w:t>
        </w:r>
        <w:r>
          <w:rPr>
            <w:noProof/>
            <w:webHidden/>
          </w:rPr>
          <w:fldChar w:fldCharType="end"/>
        </w:r>
      </w:hyperlink>
    </w:p>
    <w:p w14:paraId="47FC9E92" w14:textId="3127C583"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26" w:history="1">
        <w:r w:rsidRPr="0095614D">
          <w:rPr>
            <w:rStyle w:val="Lienhypertexte"/>
            <w:noProof/>
          </w:rPr>
          <w:t>Article 2.9-</w:t>
        </w:r>
        <w:r>
          <w:rPr>
            <w:rFonts w:eastAsiaTheme="minorEastAsia"/>
            <w:i w:val="0"/>
            <w:noProof/>
            <w:kern w:val="2"/>
            <w:sz w:val="24"/>
            <w:szCs w:val="24"/>
            <w:lang w:eastAsia="fr-FR"/>
            <w14:ligatures w14:val="standardContextual"/>
          </w:rPr>
          <w:tab/>
        </w:r>
        <w:r w:rsidRPr="0095614D">
          <w:rPr>
            <w:rStyle w:val="Lienhypertexte"/>
            <w:noProof/>
          </w:rPr>
          <w:t>Réglementation applicable</w:t>
        </w:r>
        <w:r>
          <w:rPr>
            <w:noProof/>
            <w:webHidden/>
          </w:rPr>
          <w:tab/>
        </w:r>
        <w:r>
          <w:rPr>
            <w:noProof/>
            <w:webHidden/>
          </w:rPr>
          <w:fldChar w:fldCharType="begin"/>
        </w:r>
        <w:r>
          <w:rPr>
            <w:noProof/>
            <w:webHidden/>
          </w:rPr>
          <w:instrText xml:space="preserve"> PAGEREF _Toc222243926 \h </w:instrText>
        </w:r>
        <w:r>
          <w:rPr>
            <w:noProof/>
            <w:webHidden/>
          </w:rPr>
        </w:r>
        <w:r>
          <w:rPr>
            <w:noProof/>
            <w:webHidden/>
          </w:rPr>
          <w:fldChar w:fldCharType="separate"/>
        </w:r>
        <w:r>
          <w:rPr>
            <w:noProof/>
            <w:webHidden/>
          </w:rPr>
          <w:t>13</w:t>
        </w:r>
        <w:r>
          <w:rPr>
            <w:noProof/>
            <w:webHidden/>
          </w:rPr>
          <w:fldChar w:fldCharType="end"/>
        </w:r>
      </w:hyperlink>
    </w:p>
    <w:p w14:paraId="415C1244" w14:textId="36163DCF"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27" w:history="1">
        <w:r w:rsidRPr="0095614D">
          <w:rPr>
            <w:rStyle w:val="Lienhypertexte"/>
            <w:noProof/>
          </w:rPr>
          <w:t>Article 2.10-</w:t>
        </w:r>
        <w:r>
          <w:rPr>
            <w:rFonts w:eastAsiaTheme="minorEastAsia"/>
            <w:i w:val="0"/>
            <w:noProof/>
            <w:kern w:val="2"/>
            <w:sz w:val="24"/>
            <w:szCs w:val="24"/>
            <w:lang w:eastAsia="fr-FR"/>
            <w14:ligatures w14:val="standardContextual"/>
          </w:rPr>
          <w:tab/>
        </w:r>
        <w:r w:rsidRPr="0095614D">
          <w:rPr>
            <w:rStyle w:val="Lienhypertexte"/>
            <w:noProof/>
          </w:rPr>
          <w:t>Sous-traitance</w:t>
        </w:r>
        <w:r>
          <w:rPr>
            <w:noProof/>
            <w:webHidden/>
          </w:rPr>
          <w:tab/>
        </w:r>
        <w:r>
          <w:rPr>
            <w:noProof/>
            <w:webHidden/>
          </w:rPr>
          <w:fldChar w:fldCharType="begin"/>
        </w:r>
        <w:r>
          <w:rPr>
            <w:noProof/>
            <w:webHidden/>
          </w:rPr>
          <w:instrText xml:space="preserve"> PAGEREF _Toc222243927 \h </w:instrText>
        </w:r>
        <w:r>
          <w:rPr>
            <w:noProof/>
            <w:webHidden/>
          </w:rPr>
        </w:r>
        <w:r>
          <w:rPr>
            <w:noProof/>
            <w:webHidden/>
          </w:rPr>
          <w:fldChar w:fldCharType="separate"/>
        </w:r>
        <w:r>
          <w:rPr>
            <w:noProof/>
            <w:webHidden/>
          </w:rPr>
          <w:t>13</w:t>
        </w:r>
        <w:r>
          <w:rPr>
            <w:noProof/>
            <w:webHidden/>
          </w:rPr>
          <w:fldChar w:fldCharType="end"/>
        </w:r>
      </w:hyperlink>
    </w:p>
    <w:p w14:paraId="0435A2A2" w14:textId="61218A1E"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28" w:history="1">
        <w:r w:rsidRPr="0095614D">
          <w:rPr>
            <w:rStyle w:val="Lienhypertexte"/>
            <w:noProof/>
          </w:rPr>
          <w:t>Article 2.11-</w:t>
        </w:r>
        <w:r>
          <w:rPr>
            <w:rFonts w:eastAsiaTheme="minorEastAsia"/>
            <w:i w:val="0"/>
            <w:noProof/>
            <w:kern w:val="2"/>
            <w:sz w:val="24"/>
            <w:szCs w:val="24"/>
            <w:lang w:eastAsia="fr-FR"/>
            <w14:ligatures w14:val="standardContextual"/>
          </w:rPr>
          <w:tab/>
        </w:r>
        <w:r w:rsidRPr="0095614D">
          <w:rPr>
            <w:rStyle w:val="Lienhypertexte"/>
            <w:noProof/>
          </w:rPr>
          <w:t>Réalisation de prestations similaires</w:t>
        </w:r>
        <w:r>
          <w:rPr>
            <w:noProof/>
            <w:webHidden/>
          </w:rPr>
          <w:tab/>
        </w:r>
        <w:r>
          <w:rPr>
            <w:noProof/>
            <w:webHidden/>
          </w:rPr>
          <w:fldChar w:fldCharType="begin"/>
        </w:r>
        <w:r>
          <w:rPr>
            <w:noProof/>
            <w:webHidden/>
          </w:rPr>
          <w:instrText xml:space="preserve"> PAGEREF _Toc222243928 \h </w:instrText>
        </w:r>
        <w:r>
          <w:rPr>
            <w:noProof/>
            <w:webHidden/>
          </w:rPr>
        </w:r>
        <w:r>
          <w:rPr>
            <w:noProof/>
            <w:webHidden/>
          </w:rPr>
          <w:fldChar w:fldCharType="separate"/>
        </w:r>
        <w:r>
          <w:rPr>
            <w:noProof/>
            <w:webHidden/>
          </w:rPr>
          <w:t>14</w:t>
        </w:r>
        <w:r>
          <w:rPr>
            <w:noProof/>
            <w:webHidden/>
          </w:rPr>
          <w:fldChar w:fldCharType="end"/>
        </w:r>
      </w:hyperlink>
    </w:p>
    <w:p w14:paraId="18ACD1DB" w14:textId="7F78796F" w:rsidR="00903516" w:rsidRDefault="00903516">
      <w:pPr>
        <w:pStyle w:val="TM1"/>
        <w:rPr>
          <w:rFonts w:eastAsiaTheme="minorEastAsia"/>
          <w:b w:val="0"/>
          <w:noProof/>
          <w:kern w:val="2"/>
          <w:sz w:val="24"/>
          <w:szCs w:val="24"/>
          <w:lang w:eastAsia="fr-FR"/>
          <w14:ligatures w14:val="standardContextual"/>
        </w:rPr>
      </w:pPr>
      <w:hyperlink w:anchor="_Toc222243929" w:history="1">
        <w:r w:rsidRPr="0095614D">
          <w:rPr>
            <w:rStyle w:val="Lienhypertexte"/>
            <w:noProof/>
          </w:rPr>
          <w:t>ARTICLE 3-</w:t>
        </w:r>
        <w:r>
          <w:rPr>
            <w:rFonts w:eastAsiaTheme="minorEastAsia"/>
            <w:b w:val="0"/>
            <w:noProof/>
            <w:kern w:val="2"/>
            <w:sz w:val="24"/>
            <w:szCs w:val="24"/>
            <w:lang w:eastAsia="fr-FR"/>
            <w14:ligatures w14:val="standardContextual"/>
          </w:rPr>
          <w:tab/>
        </w:r>
        <w:r w:rsidRPr="0095614D">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_Toc222243929 \h </w:instrText>
        </w:r>
        <w:r>
          <w:rPr>
            <w:noProof/>
            <w:webHidden/>
          </w:rPr>
        </w:r>
        <w:r>
          <w:rPr>
            <w:noProof/>
            <w:webHidden/>
          </w:rPr>
          <w:fldChar w:fldCharType="separate"/>
        </w:r>
        <w:r>
          <w:rPr>
            <w:noProof/>
            <w:webHidden/>
          </w:rPr>
          <w:t>14</w:t>
        </w:r>
        <w:r>
          <w:rPr>
            <w:noProof/>
            <w:webHidden/>
          </w:rPr>
          <w:fldChar w:fldCharType="end"/>
        </w:r>
      </w:hyperlink>
    </w:p>
    <w:p w14:paraId="38FB9075" w14:textId="265EC481"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30" w:history="1">
        <w:r w:rsidRPr="0095614D">
          <w:rPr>
            <w:rStyle w:val="Lienhypertexte"/>
            <w:noProof/>
          </w:rPr>
          <w:t>Article 3.1-</w:t>
        </w:r>
        <w:r>
          <w:rPr>
            <w:rFonts w:eastAsiaTheme="minorEastAsia"/>
            <w:i w:val="0"/>
            <w:noProof/>
            <w:kern w:val="2"/>
            <w:sz w:val="24"/>
            <w:szCs w:val="24"/>
            <w:lang w:eastAsia="fr-FR"/>
            <w14:ligatures w14:val="standardContextual"/>
          </w:rPr>
          <w:tab/>
        </w:r>
        <w:r w:rsidRPr="0095614D">
          <w:rPr>
            <w:rStyle w:val="Lienhypertexte"/>
            <w:noProof/>
          </w:rPr>
          <w:t>Durée de l’accord-cadre</w:t>
        </w:r>
        <w:r>
          <w:rPr>
            <w:noProof/>
            <w:webHidden/>
          </w:rPr>
          <w:tab/>
        </w:r>
        <w:r>
          <w:rPr>
            <w:noProof/>
            <w:webHidden/>
          </w:rPr>
          <w:fldChar w:fldCharType="begin"/>
        </w:r>
        <w:r>
          <w:rPr>
            <w:noProof/>
            <w:webHidden/>
          </w:rPr>
          <w:instrText xml:space="preserve"> PAGEREF _Toc222243930 \h </w:instrText>
        </w:r>
        <w:r>
          <w:rPr>
            <w:noProof/>
            <w:webHidden/>
          </w:rPr>
        </w:r>
        <w:r>
          <w:rPr>
            <w:noProof/>
            <w:webHidden/>
          </w:rPr>
          <w:fldChar w:fldCharType="separate"/>
        </w:r>
        <w:r>
          <w:rPr>
            <w:noProof/>
            <w:webHidden/>
          </w:rPr>
          <w:t>14</w:t>
        </w:r>
        <w:r>
          <w:rPr>
            <w:noProof/>
            <w:webHidden/>
          </w:rPr>
          <w:fldChar w:fldCharType="end"/>
        </w:r>
      </w:hyperlink>
    </w:p>
    <w:p w14:paraId="25E1A070" w14:textId="0A22861E"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31" w:history="1">
        <w:r w:rsidRPr="0095614D">
          <w:rPr>
            <w:rStyle w:val="Lienhypertexte"/>
            <w:noProof/>
          </w:rPr>
          <w:t>Article 3.2-</w:t>
        </w:r>
        <w:r>
          <w:rPr>
            <w:rFonts w:eastAsiaTheme="minorEastAsia"/>
            <w:i w:val="0"/>
            <w:noProof/>
            <w:kern w:val="2"/>
            <w:sz w:val="24"/>
            <w:szCs w:val="24"/>
            <w:lang w:eastAsia="fr-FR"/>
            <w14:ligatures w14:val="standardContextual"/>
          </w:rPr>
          <w:tab/>
        </w:r>
        <w:r w:rsidRPr="0095614D">
          <w:rPr>
            <w:rStyle w:val="Lienhypertexte"/>
            <w:noProof/>
          </w:rPr>
          <w:t>Reconduction</w:t>
        </w:r>
        <w:r>
          <w:rPr>
            <w:noProof/>
            <w:webHidden/>
          </w:rPr>
          <w:tab/>
        </w:r>
        <w:r>
          <w:rPr>
            <w:noProof/>
            <w:webHidden/>
          </w:rPr>
          <w:fldChar w:fldCharType="begin"/>
        </w:r>
        <w:r>
          <w:rPr>
            <w:noProof/>
            <w:webHidden/>
          </w:rPr>
          <w:instrText xml:space="preserve"> PAGEREF _Toc222243931 \h </w:instrText>
        </w:r>
        <w:r>
          <w:rPr>
            <w:noProof/>
            <w:webHidden/>
          </w:rPr>
        </w:r>
        <w:r>
          <w:rPr>
            <w:noProof/>
            <w:webHidden/>
          </w:rPr>
          <w:fldChar w:fldCharType="separate"/>
        </w:r>
        <w:r>
          <w:rPr>
            <w:noProof/>
            <w:webHidden/>
          </w:rPr>
          <w:t>14</w:t>
        </w:r>
        <w:r>
          <w:rPr>
            <w:noProof/>
            <w:webHidden/>
          </w:rPr>
          <w:fldChar w:fldCharType="end"/>
        </w:r>
      </w:hyperlink>
    </w:p>
    <w:p w14:paraId="5BD4AA8C" w14:textId="69EF331F"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32" w:history="1">
        <w:r w:rsidRPr="0095614D">
          <w:rPr>
            <w:rStyle w:val="Lienhypertexte"/>
            <w:noProof/>
          </w:rPr>
          <w:t>Article 3.3-</w:t>
        </w:r>
        <w:r>
          <w:rPr>
            <w:rFonts w:eastAsiaTheme="minorEastAsia"/>
            <w:i w:val="0"/>
            <w:noProof/>
            <w:kern w:val="2"/>
            <w:sz w:val="24"/>
            <w:szCs w:val="24"/>
            <w:lang w:eastAsia="fr-FR"/>
            <w14:ligatures w14:val="standardContextual"/>
          </w:rPr>
          <w:tab/>
        </w:r>
        <w:r w:rsidRPr="0095614D">
          <w:rPr>
            <w:rStyle w:val="Lienhypertexte"/>
            <w:noProof/>
          </w:rPr>
          <w:t>Délais d’exécution des prestations à bons de commande</w:t>
        </w:r>
        <w:r>
          <w:rPr>
            <w:noProof/>
            <w:webHidden/>
          </w:rPr>
          <w:tab/>
        </w:r>
        <w:r>
          <w:rPr>
            <w:noProof/>
            <w:webHidden/>
          </w:rPr>
          <w:fldChar w:fldCharType="begin"/>
        </w:r>
        <w:r>
          <w:rPr>
            <w:noProof/>
            <w:webHidden/>
          </w:rPr>
          <w:instrText xml:space="preserve"> PAGEREF _Toc222243932 \h </w:instrText>
        </w:r>
        <w:r>
          <w:rPr>
            <w:noProof/>
            <w:webHidden/>
          </w:rPr>
        </w:r>
        <w:r>
          <w:rPr>
            <w:noProof/>
            <w:webHidden/>
          </w:rPr>
          <w:fldChar w:fldCharType="separate"/>
        </w:r>
        <w:r>
          <w:rPr>
            <w:noProof/>
            <w:webHidden/>
          </w:rPr>
          <w:t>14</w:t>
        </w:r>
        <w:r>
          <w:rPr>
            <w:noProof/>
            <w:webHidden/>
          </w:rPr>
          <w:fldChar w:fldCharType="end"/>
        </w:r>
      </w:hyperlink>
    </w:p>
    <w:p w14:paraId="089FB01A" w14:textId="605F0FB4" w:rsidR="00903516" w:rsidRDefault="00903516">
      <w:pPr>
        <w:pStyle w:val="TM1"/>
        <w:rPr>
          <w:rFonts w:eastAsiaTheme="minorEastAsia"/>
          <w:b w:val="0"/>
          <w:noProof/>
          <w:kern w:val="2"/>
          <w:sz w:val="24"/>
          <w:szCs w:val="24"/>
          <w:lang w:eastAsia="fr-FR"/>
          <w14:ligatures w14:val="standardContextual"/>
        </w:rPr>
      </w:pPr>
      <w:hyperlink w:anchor="_Toc222243933" w:history="1">
        <w:r w:rsidRPr="0095614D">
          <w:rPr>
            <w:rStyle w:val="Lienhypertexte"/>
            <w:noProof/>
          </w:rPr>
          <w:t>ARTICLE 4-</w:t>
        </w:r>
        <w:r>
          <w:rPr>
            <w:rFonts w:eastAsiaTheme="minorEastAsia"/>
            <w:b w:val="0"/>
            <w:noProof/>
            <w:kern w:val="2"/>
            <w:sz w:val="24"/>
            <w:szCs w:val="24"/>
            <w:lang w:eastAsia="fr-FR"/>
            <w14:ligatures w14:val="standardContextual"/>
          </w:rPr>
          <w:tab/>
        </w:r>
        <w:r w:rsidRPr="0095614D">
          <w:rPr>
            <w:rStyle w:val="Lienhypertexte"/>
            <w:noProof/>
          </w:rPr>
          <w:t>Pièces contractuelles de l’accord-cadre</w:t>
        </w:r>
        <w:r>
          <w:rPr>
            <w:noProof/>
            <w:webHidden/>
          </w:rPr>
          <w:tab/>
        </w:r>
        <w:r>
          <w:rPr>
            <w:noProof/>
            <w:webHidden/>
          </w:rPr>
          <w:fldChar w:fldCharType="begin"/>
        </w:r>
        <w:r>
          <w:rPr>
            <w:noProof/>
            <w:webHidden/>
          </w:rPr>
          <w:instrText xml:space="preserve"> PAGEREF _Toc222243933 \h </w:instrText>
        </w:r>
        <w:r>
          <w:rPr>
            <w:noProof/>
            <w:webHidden/>
          </w:rPr>
        </w:r>
        <w:r>
          <w:rPr>
            <w:noProof/>
            <w:webHidden/>
          </w:rPr>
          <w:fldChar w:fldCharType="separate"/>
        </w:r>
        <w:r>
          <w:rPr>
            <w:noProof/>
            <w:webHidden/>
          </w:rPr>
          <w:t>15</w:t>
        </w:r>
        <w:r>
          <w:rPr>
            <w:noProof/>
            <w:webHidden/>
          </w:rPr>
          <w:fldChar w:fldCharType="end"/>
        </w:r>
      </w:hyperlink>
    </w:p>
    <w:p w14:paraId="713396DB" w14:textId="6F2A0DD9" w:rsidR="00903516" w:rsidRDefault="00903516">
      <w:pPr>
        <w:pStyle w:val="TM1"/>
        <w:rPr>
          <w:rFonts w:eastAsiaTheme="minorEastAsia"/>
          <w:b w:val="0"/>
          <w:noProof/>
          <w:kern w:val="2"/>
          <w:sz w:val="24"/>
          <w:szCs w:val="24"/>
          <w:lang w:eastAsia="fr-FR"/>
          <w14:ligatures w14:val="standardContextual"/>
        </w:rPr>
      </w:pPr>
      <w:hyperlink w:anchor="_Toc222243934" w:history="1">
        <w:r w:rsidRPr="0095614D">
          <w:rPr>
            <w:rStyle w:val="Lienhypertexte"/>
            <w:noProof/>
          </w:rPr>
          <w:t>ARTICLE 5-</w:t>
        </w:r>
        <w:r>
          <w:rPr>
            <w:rFonts w:eastAsiaTheme="minorEastAsia"/>
            <w:b w:val="0"/>
            <w:noProof/>
            <w:kern w:val="2"/>
            <w:sz w:val="24"/>
            <w:szCs w:val="24"/>
            <w:lang w:eastAsia="fr-FR"/>
            <w14:ligatures w14:val="standardContextual"/>
          </w:rPr>
          <w:tab/>
        </w:r>
        <w:r w:rsidRPr="0095614D">
          <w:rPr>
            <w:rStyle w:val="Lienhypertexte"/>
            <w:noProof/>
          </w:rPr>
          <w:t>Prix</w:t>
        </w:r>
        <w:r>
          <w:rPr>
            <w:noProof/>
            <w:webHidden/>
          </w:rPr>
          <w:tab/>
        </w:r>
        <w:r>
          <w:rPr>
            <w:noProof/>
            <w:webHidden/>
          </w:rPr>
          <w:fldChar w:fldCharType="begin"/>
        </w:r>
        <w:r>
          <w:rPr>
            <w:noProof/>
            <w:webHidden/>
          </w:rPr>
          <w:instrText xml:space="preserve"> PAGEREF _Toc222243934 \h </w:instrText>
        </w:r>
        <w:r>
          <w:rPr>
            <w:noProof/>
            <w:webHidden/>
          </w:rPr>
        </w:r>
        <w:r>
          <w:rPr>
            <w:noProof/>
            <w:webHidden/>
          </w:rPr>
          <w:fldChar w:fldCharType="separate"/>
        </w:r>
        <w:r>
          <w:rPr>
            <w:noProof/>
            <w:webHidden/>
          </w:rPr>
          <w:t>15</w:t>
        </w:r>
        <w:r>
          <w:rPr>
            <w:noProof/>
            <w:webHidden/>
          </w:rPr>
          <w:fldChar w:fldCharType="end"/>
        </w:r>
      </w:hyperlink>
    </w:p>
    <w:p w14:paraId="632F3F5A" w14:textId="4157A36F"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35" w:history="1">
        <w:r w:rsidRPr="0095614D">
          <w:rPr>
            <w:rStyle w:val="Lienhypertexte"/>
            <w:noProof/>
          </w:rPr>
          <w:t>Article 5.1-</w:t>
        </w:r>
        <w:r>
          <w:rPr>
            <w:rFonts w:eastAsiaTheme="minorEastAsia"/>
            <w:i w:val="0"/>
            <w:noProof/>
            <w:kern w:val="2"/>
            <w:sz w:val="24"/>
            <w:szCs w:val="24"/>
            <w:lang w:eastAsia="fr-FR"/>
            <w14:ligatures w14:val="standardContextual"/>
          </w:rPr>
          <w:tab/>
        </w:r>
        <w:r w:rsidRPr="0095614D">
          <w:rPr>
            <w:rStyle w:val="Lienhypertexte"/>
            <w:noProof/>
          </w:rPr>
          <w:t>Forme du prix</w:t>
        </w:r>
        <w:r>
          <w:rPr>
            <w:noProof/>
            <w:webHidden/>
          </w:rPr>
          <w:tab/>
        </w:r>
        <w:r>
          <w:rPr>
            <w:noProof/>
            <w:webHidden/>
          </w:rPr>
          <w:fldChar w:fldCharType="begin"/>
        </w:r>
        <w:r>
          <w:rPr>
            <w:noProof/>
            <w:webHidden/>
          </w:rPr>
          <w:instrText xml:space="preserve"> PAGEREF _Toc222243935 \h </w:instrText>
        </w:r>
        <w:r>
          <w:rPr>
            <w:noProof/>
            <w:webHidden/>
          </w:rPr>
        </w:r>
        <w:r>
          <w:rPr>
            <w:noProof/>
            <w:webHidden/>
          </w:rPr>
          <w:fldChar w:fldCharType="separate"/>
        </w:r>
        <w:r>
          <w:rPr>
            <w:noProof/>
            <w:webHidden/>
          </w:rPr>
          <w:t>15</w:t>
        </w:r>
        <w:r>
          <w:rPr>
            <w:noProof/>
            <w:webHidden/>
          </w:rPr>
          <w:fldChar w:fldCharType="end"/>
        </w:r>
      </w:hyperlink>
    </w:p>
    <w:p w14:paraId="269E39D6" w14:textId="7559ACC7"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36" w:history="1">
        <w:r w:rsidRPr="0095614D">
          <w:rPr>
            <w:rStyle w:val="Lienhypertexte"/>
            <w:noProof/>
          </w:rPr>
          <w:t>Article 5.2-</w:t>
        </w:r>
        <w:r>
          <w:rPr>
            <w:rFonts w:eastAsiaTheme="minorEastAsia"/>
            <w:i w:val="0"/>
            <w:noProof/>
            <w:kern w:val="2"/>
            <w:sz w:val="24"/>
            <w:szCs w:val="24"/>
            <w:lang w:eastAsia="fr-FR"/>
            <w14:ligatures w14:val="standardContextual"/>
          </w:rPr>
          <w:tab/>
        </w:r>
        <w:r w:rsidRPr="0095614D">
          <w:rPr>
            <w:rStyle w:val="Lienhypertexte"/>
            <w:noProof/>
          </w:rPr>
          <w:t>Montant de l’offre</w:t>
        </w:r>
        <w:r>
          <w:rPr>
            <w:noProof/>
            <w:webHidden/>
          </w:rPr>
          <w:tab/>
        </w:r>
        <w:r>
          <w:rPr>
            <w:noProof/>
            <w:webHidden/>
          </w:rPr>
          <w:fldChar w:fldCharType="begin"/>
        </w:r>
        <w:r>
          <w:rPr>
            <w:noProof/>
            <w:webHidden/>
          </w:rPr>
          <w:instrText xml:space="preserve"> PAGEREF _Toc222243936 \h </w:instrText>
        </w:r>
        <w:r>
          <w:rPr>
            <w:noProof/>
            <w:webHidden/>
          </w:rPr>
        </w:r>
        <w:r>
          <w:rPr>
            <w:noProof/>
            <w:webHidden/>
          </w:rPr>
          <w:fldChar w:fldCharType="separate"/>
        </w:r>
        <w:r>
          <w:rPr>
            <w:noProof/>
            <w:webHidden/>
          </w:rPr>
          <w:t>15</w:t>
        </w:r>
        <w:r>
          <w:rPr>
            <w:noProof/>
            <w:webHidden/>
          </w:rPr>
          <w:fldChar w:fldCharType="end"/>
        </w:r>
      </w:hyperlink>
    </w:p>
    <w:p w14:paraId="1F1D8DED" w14:textId="7EDC9FB6"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37" w:history="1">
        <w:r w:rsidRPr="0095614D">
          <w:rPr>
            <w:rStyle w:val="Lienhypertexte"/>
            <w:noProof/>
          </w:rPr>
          <w:t>Article 5.3-</w:t>
        </w:r>
        <w:r>
          <w:rPr>
            <w:rFonts w:eastAsiaTheme="minorEastAsia"/>
            <w:i w:val="0"/>
            <w:noProof/>
            <w:kern w:val="2"/>
            <w:sz w:val="24"/>
            <w:szCs w:val="24"/>
            <w:lang w:eastAsia="fr-FR"/>
            <w14:ligatures w14:val="standardContextual"/>
          </w:rPr>
          <w:tab/>
        </w:r>
        <w:r w:rsidRPr="0095614D">
          <w:rPr>
            <w:rStyle w:val="Lienhypertexte"/>
            <w:noProof/>
          </w:rPr>
          <w:t>Contenu des prix</w:t>
        </w:r>
        <w:r>
          <w:rPr>
            <w:noProof/>
            <w:webHidden/>
          </w:rPr>
          <w:tab/>
        </w:r>
        <w:r>
          <w:rPr>
            <w:noProof/>
            <w:webHidden/>
          </w:rPr>
          <w:fldChar w:fldCharType="begin"/>
        </w:r>
        <w:r>
          <w:rPr>
            <w:noProof/>
            <w:webHidden/>
          </w:rPr>
          <w:instrText xml:space="preserve"> PAGEREF _Toc222243937 \h </w:instrText>
        </w:r>
        <w:r>
          <w:rPr>
            <w:noProof/>
            <w:webHidden/>
          </w:rPr>
        </w:r>
        <w:r>
          <w:rPr>
            <w:noProof/>
            <w:webHidden/>
          </w:rPr>
          <w:fldChar w:fldCharType="separate"/>
        </w:r>
        <w:r>
          <w:rPr>
            <w:noProof/>
            <w:webHidden/>
          </w:rPr>
          <w:t>16</w:t>
        </w:r>
        <w:r>
          <w:rPr>
            <w:noProof/>
            <w:webHidden/>
          </w:rPr>
          <w:fldChar w:fldCharType="end"/>
        </w:r>
      </w:hyperlink>
    </w:p>
    <w:p w14:paraId="4BDA8601" w14:textId="11E2734B" w:rsidR="00903516" w:rsidRDefault="00903516">
      <w:pPr>
        <w:pStyle w:val="TM1"/>
        <w:rPr>
          <w:rFonts w:eastAsiaTheme="minorEastAsia"/>
          <w:b w:val="0"/>
          <w:noProof/>
          <w:kern w:val="2"/>
          <w:sz w:val="24"/>
          <w:szCs w:val="24"/>
          <w:lang w:eastAsia="fr-FR"/>
          <w14:ligatures w14:val="standardContextual"/>
        </w:rPr>
      </w:pPr>
      <w:hyperlink w:anchor="_Toc222243938" w:history="1">
        <w:r w:rsidRPr="0095614D">
          <w:rPr>
            <w:rStyle w:val="Lienhypertexte"/>
            <w:noProof/>
          </w:rPr>
          <w:t>ARTICLE 6-</w:t>
        </w:r>
        <w:r>
          <w:rPr>
            <w:rFonts w:eastAsiaTheme="minorEastAsia"/>
            <w:b w:val="0"/>
            <w:noProof/>
            <w:kern w:val="2"/>
            <w:sz w:val="24"/>
            <w:szCs w:val="24"/>
            <w:lang w:eastAsia="fr-FR"/>
            <w14:ligatures w14:val="standardContextual"/>
          </w:rPr>
          <w:tab/>
        </w:r>
        <w:r w:rsidRPr="0095614D">
          <w:rPr>
            <w:rStyle w:val="Lienhypertexte"/>
            <w:noProof/>
          </w:rPr>
          <w:t>Variation des prix</w:t>
        </w:r>
        <w:r>
          <w:rPr>
            <w:noProof/>
            <w:webHidden/>
          </w:rPr>
          <w:tab/>
        </w:r>
        <w:r>
          <w:rPr>
            <w:noProof/>
            <w:webHidden/>
          </w:rPr>
          <w:fldChar w:fldCharType="begin"/>
        </w:r>
        <w:r>
          <w:rPr>
            <w:noProof/>
            <w:webHidden/>
          </w:rPr>
          <w:instrText xml:space="preserve"> PAGEREF _Toc222243938 \h </w:instrText>
        </w:r>
        <w:r>
          <w:rPr>
            <w:noProof/>
            <w:webHidden/>
          </w:rPr>
        </w:r>
        <w:r>
          <w:rPr>
            <w:noProof/>
            <w:webHidden/>
          </w:rPr>
          <w:fldChar w:fldCharType="separate"/>
        </w:r>
        <w:r>
          <w:rPr>
            <w:noProof/>
            <w:webHidden/>
          </w:rPr>
          <w:t>16</w:t>
        </w:r>
        <w:r>
          <w:rPr>
            <w:noProof/>
            <w:webHidden/>
          </w:rPr>
          <w:fldChar w:fldCharType="end"/>
        </w:r>
      </w:hyperlink>
    </w:p>
    <w:p w14:paraId="1953A417" w14:textId="08D772BE"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39" w:history="1">
        <w:r w:rsidRPr="0095614D">
          <w:rPr>
            <w:rStyle w:val="Lienhypertexte"/>
            <w:noProof/>
          </w:rPr>
          <w:t>Article 6.1-</w:t>
        </w:r>
        <w:r>
          <w:rPr>
            <w:rFonts w:eastAsiaTheme="minorEastAsia"/>
            <w:i w:val="0"/>
            <w:noProof/>
            <w:kern w:val="2"/>
            <w:sz w:val="24"/>
            <w:szCs w:val="24"/>
            <w:lang w:eastAsia="fr-FR"/>
            <w14:ligatures w14:val="standardContextual"/>
          </w:rPr>
          <w:tab/>
        </w:r>
        <w:r w:rsidRPr="0095614D">
          <w:rPr>
            <w:rStyle w:val="Lienhypertexte"/>
            <w:noProof/>
          </w:rPr>
          <w:t>Mois d’établissement des prix</w:t>
        </w:r>
        <w:r>
          <w:rPr>
            <w:noProof/>
            <w:webHidden/>
          </w:rPr>
          <w:tab/>
        </w:r>
        <w:r>
          <w:rPr>
            <w:noProof/>
            <w:webHidden/>
          </w:rPr>
          <w:fldChar w:fldCharType="begin"/>
        </w:r>
        <w:r>
          <w:rPr>
            <w:noProof/>
            <w:webHidden/>
          </w:rPr>
          <w:instrText xml:space="preserve"> PAGEREF _Toc222243939 \h </w:instrText>
        </w:r>
        <w:r>
          <w:rPr>
            <w:noProof/>
            <w:webHidden/>
          </w:rPr>
        </w:r>
        <w:r>
          <w:rPr>
            <w:noProof/>
            <w:webHidden/>
          </w:rPr>
          <w:fldChar w:fldCharType="separate"/>
        </w:r>
        <w:r>
          <w:rPr>
            <w:noProof/>
            <w:webHidden/>
          </w:rPr>
          <w:t>16</w:t>
        </w:r>
        <w:r>
          <w:rPr>
            <w:noProof/>
            <w:webHidden/>
          </w:rPr>
          <w:fldChar w:fldCharType="end"/>
        </w:r>
      </w:hyperlink>
    </w:p>
    <w:p w14:paraId="38CAC406" w14:textId="2473B83A"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40" w:history="1">
        <w:r w:rsidRPr="0095614D">
          <w:rPr>
            <w:rStyle w:val="Lienhypertexte"/>
            <w:noProof/>
          </w:rPr>
          <w:t>Article 6.2-</w:t>
        </w:r>
        <w:r>
          <w:rPr>
            <w:rFonts w:eastAsiaTheme="minorEastAsia"/>
            <w:i w:val="0"/>
            <w:noProof/>
            <w:kern w:val="2"/>
            <w:sz w:val="24"/>
            <w:szCs w:val="24"/>
            <w:lang w:eastAsia="fr-FR"/>
            <w14:ligatures w14:val="standardContextual"/>
          </w:rPr>
          <w:tab/>
        </w:r>
        <w:r w:rsidRPr="0095614D">
          <w:rPr>
            <w:rStyle w:val="Lienhypertexte"/>
            <w:noProof/>
          </w:rPr>
          <w:t>Modalités de variation des prix</w:t>
        </w:r>
        <w:r>
          <w:rPr>
            <w:noProof/>
            <w:webHidden/>
          </w:rPr>
          <w:tab/>
        </w:r>
        <w:r>
          <w:rPr>
            <w:noProof/>
            <w:webHidden/>
          </w:rPr>
          <w:fldChar w:fldCharType="begin"/>
        </w:r>
        <w:r>
          <w:rPr>
            <w:noProof/>
            <w:webHidden/>
          </w:rPr>
          <w:instrText xml:space="preserve"> PAGEREF _Toc222243940 \h </w:instrText>
        </w:r>
        <w:r>
          <w:rPr>
            <w:noProof/>
            <w:webHidden/>
          </w:rPr>
        </w:r>
        <w:r>
          <w:rPr>
            <w:noProof/>
            <w:webHidden/>
          </w:rPr>
          <w:fldChar w:fldCharType="separate"/>
        </w:r>
        <w:r>
          <w:rPr>
            <w:noProof/>
            <w:webHidden/>
          </w:rPr>
          <w:t>16</w:t>
        </w:r>
        <w:r>
          <w:rPr>
            <w:noProof/>
            <w:webHidden/>
          </w:rPr>
          <w:fldChar w:fldCharType="end"/>
        </w:r>
      </w:hyperlink>
    </w:p>
    <w:p w14:paraId="55CEE076" w14:textId="74B7956D" w:rsidR="00903516" w:rsidRDefault="00903516">
      <w:pPr>
        <w:pStyle w:val="TM1"/>
        <w:rPr>
          <w:rFonts w:eastAsiaTheme="minorEastAsia"/>
          <w:b w:val="0"/>
          <w:noProof/>
          <w:kern w:val="2"/>
          <w:sz w:val="24"/>
          <w:szCs w:val="24"/>
          <w:lang w:eastAsia="fr-FR"/>
          <w14:ligatures w14:val="standardContextual"/>
        </w:rPr>
      </w:pPr>
      <w:hyperlink w:anchor="_Toc222243941" w:history="1">
        <w:r w:rsidRPr="0095614D">
          <w:rPr>
            <w:rStyle w:val="Lienhypertexte"/>
            <w:noProof/>
          </w:rPr>
          <w:t>ARTICLE 7-</w:t>
        </w:r>
        <w:r>
          <w:rPr>
            <w:rFonts w:eastAsiaTheme="minorEastAsia"/>
            <w:b w:val="0"/>
            <w:noProof/>
            <w:kern w:val="2"/>
            <w:sz w:val="24"/>
            <w:szCs w:val="24"/>
            <w:lang w:eastAsia="fr-FR"/>
            <w14:ligatures w14:val="standardContextual"/>
          </w:rPr>
          <w:tab/>
        </w:r>
        <w:r w:rsidRPr="0095614D">
          <w:rPr>
            <w:rStyle w:val="Lienhypertexte"/>
            <w:noProof/>
          </w:rPr>
          <w:t>Clauses de réexamen</w:t>
        </w:r>
        <w:r>
          <w:rPr>
            <w:noProof/>
            <w:webHidden/>
          </w:rPr>
          <w:tab/>
        </w:r>
        <w:r>
          <w:rPr>
            <w:noProof/>
            <w:webHidden/>
          </w:rPr>
          <w:fldChar w:fldCharType="begin"/>
        </w:r>
        <w:r>
          <w:rPr>
            <w:noProof/>
            <w:webHidden/>
          </w:rPr>
          <w:instrText xml:space="preserve"> PAGEREF _Toc222243941 \h </w:instrText>
        </w:r>
        <w:r>
          <w:rPr>
            <w:noProof/>
            <w:webHidden/>
          </w:rPr>
        </w:r>
        <w:r>
          <w:rPr>
            <w:noProof/>
            <w:webHidden/>
          </w:rPr>
          <w:fldChar w:fldCharType="separate"/>
        </w:r>
        <w:r>
          <w:rPr>
            <w:noProof/>
            <w:webHidden/>
          </w:rPr>
          <w:t>17</w:t>
        </w:r>
        <w:r>
          <w:rPr>
            <w:noProof/>
            <w:webHidden/>
          </w:rPr>
          <w:fldChar w:fldCharType="end"/>
        </w:r>
      </w:hyperlink>
    </w:p>
    <w:p w14:paraId="7C85F73D" w14:textId="2000233E"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42" w:history="1">
        <w:r w:rsidRPr="0095614D">
          <w:rPr>
            <w:rStyle w:val="Lienhypertexte"/>
            <w:noProof/>
          </w:rPr>
          <w:t>Article 7.1-</w:t>
        </w:r>
        <w:r>
          <w:rPr>
            <w:rFonts w:eastAsiaTheme="minorEastAsia"/>
            <w:i w:val="0"/>
            <w:noProof/>
            <w:kern w:val="2"/>
            <w:sz w:val="24"/>
            <w:szCs w:val="24"/>
            <w:lang w:eastAsia="fr-FR"/>
            <w14:ligatures w14:val="standardContextual"/>
          </w:rPr>
          <w:tab/>
        </w:r>
        <w:r w:rsidRPr="0095614D">
          <w:rPr>
            <w:rStyle w:val="Lienhypertexte"/>
            <w:noProof/>
          </w:rPr>
          <w:t>Remplacement de l’un des titulaires initiaux par un nouveau titulaire en cours d’exécution</w:t>
        </w:r>
        <w:r>
          <w:rPr>
            <w:rStyle w:val="Lienhypertexte"/>
            <w:noProof/>
          </w:rPr>
          <w:tab/>
        </w:r>
        <w:r>
          <w:rPr>
            <w:noProof/>
            <w:webHidden/>
          </w:rPr>
          <w:tab/>
        </w:r>
        <w:r>
          <w:rPr>
            <w:noProof/>
            <w:webHidden/>
          </w:rPr>
          <w:fldChar w:fldCharType="begin"/>
        </w:r>
        <w:r>
          <w:rPr>
            <w:noProof/>
            <w:webHidden/>
          </w:rPr>
          <w:instrText xml:space="preserve"> PAGEREF _Toc222243942 \h </w:instrText>
        </w:r>
        <w:r>
          <w:rPr>
            <w:noProof/>
            <w:webHidden/>
          </w:rPr>
        </w:r>
        <w:r>
          <w:rPr>
            <w:noProof/>
            <w:webHidden/>
          </w:rPr>
          <w:fldChar w:fldCharType="separate"/>
        </w:r>
        <w:r>
          <w:rPr>
            <w:noProof/>
            <w:webHidden/>
          </w:rPr>
          <w:t>17</w:t>
        </w:r>
        <w:r>
          <w:rPr>
            <w:noProof/>
            <w:webHidden/>
          </w:rPr>
          <w:fldChar w:fldCharType="end"/>
        </w:r>
      </w:hyperlink>
    </w:p>
    <w:p w14:paraId="3A6AE056" w14:textId="6DD28242"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43" w:history="1">
        <w:r w:rsidRPr="0095614D">
          <w:rPr>
            <w:rStyle w:val="Lienhypertexte"/>
            <w:noProof/>
          </w:rPr>
          <w:t>Article 7.2-</w:t>
        </w:r>
        <w:r>
          <w:rPr>
            <w:rFonts w:eastAsiaTheme="minorEastAsia"/>
            <w:i w:val="0"/>
            <w:noProof/>
            <w:kern w:val="2"/>
            <w:sz w:val="24"/>
            <w:szCs w:val="24"/>
            <w:lang w:eastAsia="fr-FR"/>
            <w14:ligatures w14:val="standardContextual"/>
          </w:rPr>
          <w:tab/>
        </w:r>
        <w:r w:rsidRPr="0095614D">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_Toc222243943 \h </w:instrText>
        </w:r>
        <w:r>
          <w:rPr>
            <w:noProof/>
            <w:webHidden/>
          </w:rPr>
        </w:r>
        <w:r>
          <w:rPr>
            <w:noProof/>
            <w:webHidden/>
          </w:rPr>
          <w:fldChar w:fldCharType="separate"/>
        </w:r>
        <w:r>
          <w:rPr>
            <w:noProof/>
            <w:webHidden/>
          </w:rPr>
          <w:t>18</w:t>
        </w:r>
        <w:r>
          <w:rPr>
            <w:noProof/>
            <w:webHidden/>
          </w:rPr>
          <w:fldChar w:fldCharType="end"/>
        </w:r>
      </w:hyperlink>
    </w:p>
    <w:p w14:paraId="312D22C7" w14:textId="76D8668F" w:rsidR="00903516" w:rsidRDefault="00903516">
      <w:pPr>
        <w:pStyle w:val="TM1"/>
        <w:rPr>
          <w:rFonts w:eastAsiaTheme="minorEastAsia"/>
          <w:b w:val="0"/>
          <w:noProof/>
          <w:kern w:val="2"/>
          <w:sz w:val="24"/>
          <w:szCs w:val="24"/>
          <w:lang w:eastAsia="fr-FR"/>
          <w14:ligatures w14:val="standardContextual"/>
        </w:rPr>
      </w:pPr>
      <w:hyperlink w:anchor="_Toc222243944" w:history="1">
        <w:r w:rsidRPr="0095614D">
          <w:rPr>
            <w:rStyle w:val="Lienhypertexte"/>
            <w:noProof/>
          </w:rPr>
          <w:t>ARTICLE 8-</w:t>
        </w:r>
        <w:r>
          <w:rPr>
            <w:rFonts w:eastAsiaTheme="minorEastAsia"/>
            <w:b w:val="0"/>
            <w:noProof/>
            <w:kern w:val="2"/>
            <w:sz w:val="24"/>
            <w:szCs w:val="24"/>
            <w:lang w:eastAsia="fr-FR"/>
            <w14:ligatures w14:val="standardContextual"/>
          </w:rPr>
          <w:tab/>
        </w:r>
        <w:r w:rsidRPr="0095614D">
          <w:rPr>
            <w:rStyle w:val="Lienhypertexte"/>
            <w:noProof/>
          </w:rPr>
          <w:t>Avance</w:t>
        </w:r>
        <w:r>
          <w:rPr>
            <w:noProof/>
            <w:webHidden/>
          </w:rPr>
          <w:tab/>
        </w:r>
        <w:r>
          <w:rPr>
            <w:noProof/>
            <w:webHidden/>
          </w:rPr>
          <w:fldChar w:fldCharType="begin"/>
        </w:r>
        <w:r>
          <w:rPr>
            <w:noProof/>
            <w:webHidden/>
          </w:rPr>
          <w:instrText xml:space="preserve"> PAGEREF _Toc222243944 \h </w:instrText>
        </w:r>
        <w:r>
          <w:rPr>
            <w:noProof/>
            <w:webHidden/>
          </w:rPr>
        </w:r>
        <w:r>
          <w:rPr>
            <w:noProof/>
            <w:webHidden/>
          </w:rPr>
          <w:fldChar w:fldCharType="separate"/>
        </w:r>
        <w:r>
          <w:rPr>
            <w:noProof/>
            <w:webHidden/>
          </w:rPr>
          <w:t>18</w:t>
        </w:r>
        <w:r>
          <w:rPr>
            <w:noProof/>
            <w:webHidden/>
          </w:rPr>
          <w:fldChar w:fldCharType="end"/>
        </w:r>
      </w:hyperlink>
    </w:p>
    <w:p w14:paraId="2B9BF679" w14:textId="41A2C488" w:rsidR="00903516" w:rsidRDefault="00903516">
      <w:pPr>
        <w:pStyle w:val="TM1"/>
        <w:rPr>
          <w:rFonts w:eastAsiaTheme="minorEastAsia"/>
          <w:b w:val="0"/>
          <w:noProof/>
          <w:kern w:val="2"/>
          <w:sz w:val="24"/>
          <w:szCs w:val="24"/>
          <w:lang w:eastAsia="fr-FR"/>
          <w14:ligatures w14:val="standardContextual"/>
        </w:rPr>
      </w:pPr>
      <w:hyperlink w:anchor="_Toc222243945" w:history="1">
        <w:r w:rsidRPr="0095614D">
          <w:rPr>
            <w:rStyle w:val="Lienhypertexte"/>
            <w:noProof/>
          </w:rPr>
          <w:t>ARTICLE 9-</w:t>
        </w:r>
        <w:r>
          <w:rPr>
            <w:rFonts w:eastAsiaTheme="minorEastAsia"/>
            <w:b w:val="0"/>
            <w:noProof/>
            <w:kern w:val="2"/>
            <w:sz w:val="24"/>
            <w:szCs w:val="24"/>
            <w:lang w:eastAsia="fr-FR"/>
            <w14:ligatures w14:val="standardContextual"/>
          </w:rPr>
          <w:tab/>
        </w:r>
        <w:r w:rsidRPr="0095614D">
          <w:rPr>
            <w:rStyle w:val="Lienhypertexte"/>
            <w:noProof/>
          </w:rPr>
          <w:t>Modalités de règlement des prestations</w:t>
        </w:r>
        <w:r>
          <w:rPr>
            <w:noProof/>
            <w:webHidden/>
          </w:rPr>
          <w:tab/>
        </w:r>
        <w:r>
          <w:rPr>
            <w:noProof/>
            <w:webHidden/>
          </w:rPr>
          <w:fldChar w:fldCharType="begin"/>
        </w:r>
        <w:r>
          <w:rPr>
            <w:noProof/>
            <w:webHidden/>
          </w:rPr>
          <w:instrText xml:space="preserve"> PAGEREF _Toc222243945 \h </w:instrText>
        </w:r>
        <w:r>
          <w:rPr>
            <w:noProof/>
            <w:webHidden/>
          </w:rPr>
        </w:r>
        <w:r>
          <w:rPr>
            <w:noProof/>
            <w:webHidden/>
          </w:rPr>
          <w:fldChar w:fldCharType="separate"/>
        </w:r>
        <w:r>
          <w:rPr>
            <w:noProof/>
            <w:webHidden/>
          </w:rPr>
          <w:t>20</w:t>
        </w:r>
        <w:r>
          <w:rPr>
            <w:noProof/>
            <w:webHidden/>
          </w:rPr>
          <w:fldChar w:fldCharType="end"/>
        </w:r>
      </w:hyperlink>
    </w:p>
    <w:p w14:paraId="194B530E" w14:textId="538D3F84"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46" w:history="1">
        <w:r w:rsidRPr="0095614D">
          <w:rPr>
            <w:rStyle w:val="Lienhypertexte"/>
            <w:noProof/>
          </w:rPr>
          <w:t>Article 9.1-</w:t>
        </w:r>
        <w:r>
          <w:rPr>
            <w:rFonts w:eastAsiaTheme="minorEastAsia"/>
            <w:i w:val="0"/>
            <w:noProof/>
            <w:kern w:val="2"/>
            <w:sz w:val="24"/>
            <w:szCs w:val="24"/>
            <w:lang w:eastAsia="fr-FR"/>
            <w14:ligatures w14:val="standardContextual"/>
          </w:rPr>
          <w:tab/>
        </w:r>
        <w:r w:rsidRPr="0095614D">
          <w:rPr>
            <w:rStyle w:val="Lienhypertexte"/>
            <w:noProof/>
          </w:rPr>
          <w:t>T.V.A.</w:t>
        </w:r>
        <w:r>
          <w:rPr>
            <w:noProof/>
            <w:webHidden/>
          </w:rPr>
          <w:tab/>
        </w:r>
        <w:r>
          <w:rPr>
            <w:noProof/>
            <w:webHidden/>
          </w:rPr>
          <w:fldChar w:fldCharType="begin"/>
        </w:r>
        <w:r>
          <w:rPr>
            <w:noProof/>
            <w:webHidden/>
          </w:rPr>
          <w:instrText xml:space="preserve"> PAGEREF _Toc222243946 \h </w:instrText>
        </w:r>
        <w:r>
          <w:rPr>
            <w:noProof/>
            <w:webHidden/>
          </w:rPr>
        </w:r>
        <w:r>
          <w:rPr>
            <w:noProof/>
            <w:webHidden/>
          </w:rPr>
          <w:fldChar w:fldCharType="separate"/>
        </w:r>
        <w:r>
          <w:rPr>
            <w:noProof/>
            <w:webHidden/>
          </w:rPr>
          <w:t>20</w:t>
        </w:r>
        <w:r>
          <w:rPr>
            <w:noProof/>
            <w:webHidden/>
          </w:rPr>
          <w:fldChar w:fldCharType="end"/>
        </w:r>
      </w:hyperlink>
    </w:p>
    <w:p w14:paraId="79BE046B" w14:textId="31D38038"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47" w:history="1">
        <w:r w:rsidRPr="0095614D">
          <w:rPr>
            <w:rStyle w:val="Lienhypertexte"/>
            <w:noProof/>
          </w:rPr>
          <w:t>Article 9.2-</w:t>
        </w:r>
        <w:r>
          <w:rPr>
            <w:rFonts w:eastAsiaTheme="minorEastAsia"/>
            <w:i w:val="0"/>
            <w:noProof/>
            <w:kern w:val="2"/>
            <w:sz w:val="24"/>
            <w:szCs w:val="24"/>
            <w:lang w:eastAsia="fr-FR"/>
            <w14:ligatures w14:val="standardContextual"/>
          </w:rPr>
          <w:tab/>
        </w:r>
        <w:r w:rsidRPr="0095614D">
          <w:rPr>
            <w:rStyle w:val="Lienhypertexte"/>
            <w:noProof/>
          </w:rPr>
          <w:t>Transmission des demandes de paiement</w:t>
        </w:r>
        <w:r>
          <w:rPr>
            <w:noProof/>
            <w:webHidden/>
          </w:rPr>
          <w:tab/>
        </w:r>
        <w:r>
          <w:rPr>
            <w:noProof/>
            <w:webHidden/>
          </w:rPr>
          <w:fldChar w:fldCharType="begin"/>
        </w:r>
        <w:r>
          <w:rPr>
            <w:noProof/>
            <w:webHidden/>
          </w:rPr>
          <w:instrText xml:space="preserve"> PAGEREF _Toc222243947 \h </w:instrText>
        </w:r>
        <w:r>
          <w:rPr>
            <w:noProof/>
            <w:webHidden/>
          </w:rPr>
        </w:r>
        <w:r>
          <w:rPr>
            <w:noProof/>
            <w:webHidden/>
          </w:rPr>
          <w:fldChar w:fldCharType="separate"/>
        </w:r>
        <w:r>
          <w:rPr>
            <w:noProof/>
            <w:webHidden/>
          </w:rPr>
          <w:t>20</w:t>
        </w:r>
        <w:r>
          <w:rPr>
            <w:noProof/>
            <w:webHidden/>
          </w:rPr>
          <w:fldChar w:fldCharType="end"/>
        </w:r>
      </w:hyperlink>
    </w:p>
    <w:p w14:paraId="09BC6FE4" w14:textId="5BD9F667"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48" w:history="1">
        <w:r w:rsidRPr="0095614D">
          <w:rPr>
            <w:rStyle w:val="Lienhypertexte"/>
            <w:noProof/>
          </w:rPr>
          <w:t>Article 9.3-</w:t>
        </w:r>
        <w:r>
          <w:rPr>
            <w:rFonts w:eastAsiaTheme="minorEastAsia"/>
            <w:i w:val="0"/>
            <w:noProof/>
            <w:kern w:val="2"/>
            <w:sz w:val="24"/>
            <w:szCs w:val="24"/>
            <w:lang w:eastAsia="fr-FR"/>
            <w14:ligatures w14:val="standardContextual"/>
          </w:rPr>
          <w:tab/>
        </w:r>
        <w:r w:rsidRPr="0095614D">
          <w:rPr>
            <w:rStyle w:val="Lienhypertexte"/>
            <w:noProof/>
          </w:rPr>
          <w:t>Modalités et périodicité des paiements</w:t>
        </w:r>
        <w:r>
          <w:rPr>
            <w:noProof/>
            <w:webHidden/>
          </w:rPr>
          <w:tab/>
        </w:r>
        <w:r>
          <w:rPr>
            <w:noProof/>
            <w:webHidden/>
          </w:rPr>
          <w:fldChar w:fldCharType="begin"/>
        </w:r>
        <w:r>
          <w:rPr>
            <w:noProof/>
            <w:webHidden/>
          </w:rPr>
          <w:instrText xml:space="preserve"> PAGEREF _Toc222243948 \h </w:instrText>
        </w:r>
        <w:r>
          <w:rPr>
            <w:noProof/>
            <w:webHidden/>
          </w:rPr>
        </w:r>
        <w:r>
          <w:rPr>
            <w:noProof/>
            <w:webHidden/>
          </w:rPr>
          <w:fldChar w:fldCharType="separate"/>
        </w:r>
        <w:r>
          <w:rPr>
            <w:noProof/>
            <w:webHidden/>
          </w:rPr>
          <w:t>20</w:t>
        </w:r>
        <w:r>
          <w:rPr>
            <w:noProof/>
            <w:webHidden/>
          </w:rPr>
          <w:fldChar w:fldCharType="end"/>
        </w:r>
      </w:hyperlink>
    </w:p>
    <w:p w14:paraId="1D1D2A6A" w14:textId="3BC50BB3"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49" w:history="1">
        <w:r w:rsidRPr="0095614D">
          <w:rPr>
            <w:rStyle w:val="Lienhypertexte"/>
            <w:noProof/>
          </w:rPr>
          <w:t>Article 9.4-</w:t>
        </w:r>
        <w:r>
          <w:rPr>
            <w:rFonts w:eastAsiaTheme="minorEastAsia"/>
            <w:i w:val="0"/>
            <w:noProof/>
            <w:kern w:val="2"/>
            <w:sz w:val="24"/>
            <w:szCs w:val="24"/>
            <w:lang w:eastAsia="fr-FR"/>
            <w14:ligatures w14:val="standardContextual"/>
          </w:rPr>
          <w:tab/>
        </w:r>
        <w:r w:rsidRPr="0095614D">
          <w:rPr>
            <w:rStyle w:val="Lienhypertexte"/>
            <w:noProof/>
          </w:rPr>
          <w:t>Délais de paiement</w:t>
        </w:r>
        <w:r>
          <w:rPr>
            <w:noProof/>
            <w:webHidden/>
          </w:rPr>
          <w:tab/>
        </w:r>
        <w:r>
          <w:rPr>
            <w:noProof/>
            <w:webHidden/>
          </w:rPr>
          <w:fldChar w:fldCharType="begin"/>
        </w:r>
        <w:r>
          <w:rPr>
            <w:noProof/>
            <w:webHidden/>
          </w:rPr>
          <w:instrText xml:space="preserve"> PAGEREF _Toc222243949 \h </w:instrText>
        </w:r>
        <w:r>
          <w:rPr>
            <w:noProof/>
            <w:webHidden/>
          </w:rPr>
        </w:r>
        <w:r>
          <w:rPr>
            <w:noProof/>
            <w:webHidden/>
          </w:rPr>
          <w:fldChar w:fldCharType="separate"/>
        </w:r>
        <w:r>
          <w:rPr>
            <w:noProof/>
            <w:webHidden/>
          </w:rPr>
          <w:t>20</w:t>
        </w:r>
        <w:r>
          <w:rPr>
            <w:noProof/>
            <w:webHidden/>
          </w:rPr>
          <w:fldChar w:fldCharType="end"/>
        </w:r>
      </w:hyperlink>
    </w:p>
    <w:p w14:paraId="02F0DAE9" w14:textId="7592D0BC"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50" w:history="1">
        <w:r w:rsidRPr="0095614D">
          <w:rPr>
            <w:rStyle w:val="Lienhypertexte"/>
            <w:noProof/>
          </w:rPr>
          <w:t>Article 9.5-</w:t>
        </w:r>
        <w:r>
          <w:rPr>
            <w:rFonts w:eastAsiaTheme="minorEastAsia"/>
            <w:i w:val="0"/>
            <w:noProof/>
            <w:kern w:val="2"/>
            <w:sz w:val="24"/>
            <w:szCs w:val="24"/>
            <w:lang w:eastAsia="fr-FR"/>
            <w14:ligatures w14:val="standardContextual"/>
          </w:rPr>
          <w:tab/>
        </w:r>
        <w:r w:rsidRPr="0095614D">
          <w:rPr>
            <w:rStyle w:val="Lienhypertexte"/>
            <w:noProof/>
          </w:rPr>
          <w:t>Demandes de paiement</w:t>
        </w:r>
        <w:r>
          <w:rPr>
            <w:noProof/>
            <w:webHidden/>
          </w:rPr>
          <w:tab/>
        </w:r>
        <w:r>
          <w:rPr>
            <w:noProof/>
            <w:webHidden/>
          </w:rPr>
          <w:fldChar w:fldCharType="begin"/>
        </w:r>
        <w:r>
          <w:rPr>
            <w:noProof/>
            <w:webHidden/>
          </w:rPr>
          <w:instrText xml:space="preserve"> PAGEREF _Toc222243950 \h </w:instrText>
        </w:r>
        <w:r>
          <w:rPr>
            <w:noProof/>
            <w:webHidden/>
          </w:rPr>
        </w:r>
        <w:r>
          <w:rPr>
            <w:noProof/>
            <w:webHidden/>
          </w:rPr>
          <w:fldChar w:fldCharType="separate"/>
        </w:r>
        <w:r>
          <w:rPr>
            <w:noProof/>
            <w:webHidden/>
          </w:rPr>
          <w:t>20</w:t>
        </w:r>
        <w:r>
          <w:rPr>
            <w:noProof/>
            <w:webHidden/>
          </w:rPr>
          <w:fldChar w:fldCharType="end"/>
        </w:r>
      </w:hyperlink>
    </w:p>
    <w:p w14:paraId="6D0ACB2C" w14:textId="78139C05"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51" w:history="1">
        <w:r w:rsidRPr="0095614D">
          <w:rPr>
            <w:rStyle w:val="Lienhypertexte"/>
            <w:noProof/>
          </w:rPr>
          <w:t>Article 9.6-</w:t>
        </w:r>
        <w:r>
          <w:rPr>
            <w:rFonts w:eastAsiaTheme="minorEastAsia"/>
            <w:i w:val="0"/>
            <w:noProof/>
            <w:kern w:val="2"/>
            <w:sz w:val="24"/>
            <w:szCs w:val="24"/>
            <w:lang w:eastAsia="fr-FR"/>
            <w14:ligatures w14:val="standardContextual"/>
          </w:rPr>
          <w:tab/>
        </w:r>
        <w:r w:rsidRPr="0095614D">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_Toc222243951 \h </w:instrText>
        </w:r>
        <w:r>
          <w:rPr>
            <w:noProof/>
            <w:webHidden/>
          </w:rPr>
        </w:r>
        <w:r>
          <w:rPr>
            <w:noProof/>
            <w:webHidden/>
          </w:rPr>
          <w:fldChar w:fldCharType="separate"/>
        </w:r>
        <w:r>
          <w:rPr>
            <w:noProof/>
            <w:webHidden/>
          </w:rPr>
          <w:t>21</w:t>
        </w:r>
        <w:r>
          <w:rPr>
            <w:noProof/>
            <w:webHidden/>
          </w:rPr>
          <w:fldChar w:fldCharType="end"/>
        </w:r>
      </w:hyperlink>
    </w:p>
    <w:p w14:paraId="52214F78" w14:textId="20B31B41"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52" w:history="1">
        <w:r w:rsidRPr="0095614D">
          <w:rPr>
            <w:rStyle w:val="Lienhypertexte"/>
            <w:noProof/>
          </w:rPr>
          <w:t>Article 9.7-</w:t>
        </w:r>
        <w:r>
          <w:rPr>
            <w:rFonts w:eastAsiaTheme="minorEastAsia"/>
            <w:i w:val="0"/>
            <w:noProof/>
            <w:kern w:val="2"/>
            <w:sz w:val="24"/>
            <w:szCs w:val="24"/>
            <w:lang w:eastAsia="fr-FR"/>
            <w14:ligatures w14:val="standardContextual"/>
          </w:rPr>
          <w:tab/>
        </w:r>
        <w:r w:rsidRPr="0095614D">
          <w:rPr>
            <w:rStyle w:val="Lienhypertexte"/>
            <w:noProof/>
          </w:rPr>
          <w:t>Intérêts moratoires</w:t>
        </w:r>
        <w:r>
          <w:rPr>
            <w:noProof/>
            <w:webHidden/>
          </w:rPr>
          <w:tab/>
        </w:r>
        <w:r>
          <w:rPr>
            <w:noProof/>
            <w:webHidden/>
          </w:rPr>
          <w:fldChar w:fldCharType="begin"/>
        </w:r>
        <w:r>
          <w:rPr>
            <w:noProof/>
            <w:webHidden/>
          </w:rPr>
          <w:instrText xml:space="preserve"> PAGEREF _Toc222243952 \h </w:instrText>
        </w:r>
        <w:r>
          <w:rPr>
            <w:noProof/>
            <w:webHidden/>
          </w:rPr>
        </w:r>
        <w:r>
          <w:rPr>
            <w:noProof/>
            <w:webHidden/>
          </w:rPr>
          <w:fldChar w:fldCharType="separate"/>
        </w:r>
        <w:r>
          <w:rPr>
            <w:noProof/>
            <w:webHidden/>
          </w:rPr>
          <w:t>22</w:t>
        </w:r>
        <w:r>
          <w:rPr>
            <w:noProof/>
            <w:webHidden/>
          </w:rPr>
          <w:fldChar w:fldCharType="end"/>
        </w:r>
      </w:hyperlink>
    </w:p>
    <w:p w14:paraId="62F2A282" w14:textId="58636C49" w:rsidR="00903516" w:rsidRDefault="00903516">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243953" w:history="1">
        <w:r w:rsidRPr="0095614D">
          <w:rPr>
            <w:rStyle w:val="Lienhypertexte"/>
            <w:noProof/>
          </w:rPr>
          <w:t>Article 9.8-</w:t>
        </w:r>
        <w:r>
          <w:rPr>
            <w:rFonts w:eastAsiaTheme="minorEastAsia"/>
            <w:i w:val="0"/>
            <w:noProof/>
            <w:kern w:val="2"/>
            <w:sz w:val="24"/>
            <w:szCs w:val="24"/>
            <w:lang w:eastAsia="fr-FR"/>
            <w14:ligatures w14:val="standardContextual"/>
          </w:rPr>
          <w:tab/>
        </w:r>
        <w:r w:rsidRPr="0095614D">
          <w:rPr>
            <w:rStyle w:val="Lienhypertexte"/>
            <w:noProof/>
          </w:rPr>
          <w:t>Mode de règlement</w:t>
        </w:r>
        <w:r>
          <w:rPr>
            <w:noProof/>
            <w:webHidden/>
          </w:rPr>
          <w:tab/>
        </w:r>
        <w:r>
          <w:rPr>
            <w:noProof/>
            <w:webHidden/>
          </w:rPr>
          <w:fldChar w:fldCharType="begin"/>
        </w:r>
        <w:r>
          <w:rPr>
            <w:noProof/>
            <w:webHidden/>
          </w:rPr>
          <w:instrText xml:space="preserve"> PAGEREF _Toc222243953 \h </w:instrText>
        </w:r>
        <w:r>
          <w:rPr>
            <w:noProof/>
            <w:webHidden/>
          </w:rPr>
        </w:r>
        <w:r>
          <w:rPr>
            <w:noProof/>
            <w:webHidden/>
          </w:rPr>
          <w:fldChar w:fldCharType="separate"/>
        </w:r>
        <w:r>
          <w:rPr>
            <w:noProof/>
            <w:webHidden/>
          </w:rPr>
          <w:t>23</w:t>
        </w:r>
        <w:r>
          <w:rPr>
            <w:noProof/>
            <w:webHidden/>
          </w:rPr>
          <w:fldChar w:fldCharType="end"/>
        </w:r>
      </w:hyperlink>
    </w:p>
    <w:p w14:paraId="11512EFE" w14:textId="5F7D7B71" w:rsidR="00903516" w:rsidRDefault="00903516">
      <w:pPr>
        <w:pStyle w:val="TM1"/>
        <w:rPr>
          <w:rFonts w:eastAsiaTheme="minorEastAsia"/>
          <w:b w:val="0"/>
          <w:noProof/>
          <w:kern w:val="2"/>
          <w:sz w:val="24"/>
          <w:szCs w:val="24"/>
          <w:lang w:eastAsia="fr-FR"/>
          <w14:ligatures w14:val="standardContextual"/>
        </w:rPr>
      </w:pPr>
      <w:hyperlink w:anchor="_Toc222243954" w:history="1">
        <w:r w:rsidRPr="0095614D">
          <w:rPr>
            <w:rStyle w:val="Lienhypertexte"/>
            <w:noProof/>
          </w:rPr>
          <w:t>ARTICLE 10-</w:t>
        </w:r>
        <w:r>
          <w:rPr>
            <w:rFonts w:eastAsiaTheme="minorEastAsia"/>
            <w:b w:val="0"/>
            <w:noProof/>
            <w:kern w:val="2"/>
            <w:sz w:val="24"/>
            <w:szCs w:val="24"/>
            <w:lang w:eastAsia="fr-FR"/>
            <w14:ligatures w14:val="standardContextual"/>
          </w:rPr>
          <w:tab/>
        </w:r>
        <w:r w:rsidRPr="0095614D">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_Toc222243954 \h </w:instrText>
        </w:r>
        <w:r>
          <w:rPr>
            <w:noProof/>
            <w:webHidden/>
          </w:rPr>
        </w:r>
        <w:r>
          <w:rPr>
            <w:noProof/>
            <w:webHidden/>
          </w:rPr>
          <w:fldChar w:fldCharType="separate"/>
        </w:r>
        <w:r>
          <w:rPr>
            <w:noProof/>
            <w:webHidden/>
          </w:rPr>
          <w:t>24</w:t>
        </w:r>
        <w:r>
          <w:rPr>
            <w:noProof/>
            <w:webHidden/>
          </w:rPr>
          <w:fldChar w:fldCharType="end"/>
        </w:r>
      </w:hyperlink>
    </w:p>
    <w:p w14:paraId="728490F9" w14:textId="436CB2D8" w:rsidR="00903516" w:rsidRDefault="00903516">
      <w:pPr>
        <w:pStyle w:val="TM1"/>
        <w:rPr>
          <w:rFonts w:eastAsiaTheme="minorEastAsia"/>
          <w:b w:val="0"/>
          <w:noProof/>
          <w:kern w:val="2"/>
          <w:sz w:val="24"/>
          <w:szCs w:val="24"/>
          <w:lang w:eastAsia="fr-FR"/>
          <w14:ligatures w14:val="standardContextual"/>
        </w:rPr>
      </w:pPr>
      <w:hyperlink w:anchor="_Toc222243955" w:history="1">
        <w:r w:rsidRPr="0095614D">
          <w:rPr>
            <w:rStyle w:val="Lienhypertexte"/>
            <w:noProof/>
          </w:rPr>
          <w:t>ARTICLE 11-</w:t>
        </w:r>
        <w:r>
          <w:rPr>
            <w:rFonts w:eastAsiaTheme="minorEastAsia"/>
            <w:b w:val="0"/>
            <w:noProof/>
            <w:kern w:val="2"/>
            <w:sz w:val="24"/>
            <w:szCs w:val="24"/>
            <w:lang w:eastAsia="fr-FR"/>
            <w14:ligatures w14:val="standardContextual"/>
          </w:rPr>
          <w:tab/>
        </w:r>
        <w:r w:rsidRPr="0095614D">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_Toc222243955 \h </w:instrText>
        </w:r>
        <w:r>
          <w:rPr>
            <w:noProof/>
            <w:webHidden/>
          </w:rPr>
        </w:r>
        <w:r>
          <w:rPr>
            <w:noProof/>
            <w:webHidden/>
          </w:rPr>
          <w:fldChar w:fldCharType="separate"/>
        </w:r>
        <w:r>
          <w:rPr>
            <w:noProof/>
            <w:webHidden/>
          </w:rPr>
          <w:t>24</w:t>
        </w:r>
        <w:r>
          <w:rPr>
            <w:noProof/>
            <w:webHidden/>
          </w:rPr>
          <w:fldChar w:fldCharType="end"/>
        </w:r>
      </w:hyperlink>
    </w:p>
    <w:p w14:paraId="62BAA454" w14:textId="2F4FBA18"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56" w:history="1">
        <w:r w:rsidRPr="0095614D">
          <w:rPr>
            <w:rStyle w:val="Lienhypertexte"/>
            <w:noProof/>
          </w:rPr>
          <w:t>Article 11.1-</w:t>
        </w:r>
        <w:r>
          <w:rPr>
            <w:rFonts w:eastAsiaTheme="minorEastAsia"/>
            <w:i w:val="0"/>
            <w:noProof/>
            <w:kern w:val="2"/>
            <w:sz w:val="24"/>
            <w:szCs w:val="24"/>
            <w:lang w:eastAsia="fr-FR"/>
            <w14:ligatures w14:val="standardContextual"/>
          </w:rPr>
          <w:tab/>
        </w:r>
        <w:r w:rsidRPr="0095614D">
          <w:rPr>
            <w:rStyle w:val="Lienhypertexte"/>
            <w:noProof/>
          </w:rPr>
          <w:t>Obligation de résultat</w:t>
        </w:r>
        <w:r>
          <w:rPr>
            <w:noProof/>
            <w:webHidden/>
          </w:rPr>
          <w:tab/>
        </w:r>
        <w:r>
          <w:rPr>
            <w:noProof/>
            <w:webHidden/>
          </w:rPr>
          <w:fldChar w:fldCharType="begin"/>
        </w:r>
        <w:r>
          <w:rPr>
            <w:noProof/>
            <w:webHidden/>
          </w:rPr>
          <w:instrText xml:space="preserve"> PAGEREF _Toc222243956 \h </w:instrText>
        </w:r>
        <w:r>
          <w:rPr>
            <w:noProof/>
            <w:webHidden/>
          </w:rPr>
        </w:r>
        <w:r>
          <w:rPr>
            <w:noProof/>
            <w:webHidden/>
          </w:rPr>
          <w:fldChar w:fldCharType="separate"/>
        </w:r>
        <w:r>
          <w:rPr>
            <w:noProof/>
            <w:webHidden/>
          </w:rPr>
          <w:t>24</w:t>
        </w:r>
        <w:r>
          <w:rPr>
            <w:noProof/>
            <w:webHidden/>
          </w:rPr>
          <w:fldChar w:fldCharType="end"/>
        </w:r>
      </w:hyperlink>
    </w:p>
    <w:p w14:paraId="2D3F1EBB" w14:textId="29996C1F"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57" w:history="1">
        <w:r w:rsidRPr="0095614D">
          <w:rPr>
            <w:rStyle w:val="Lienhypertexte"/>
            <w:noProof/>
          </w:rPr>
          <w:t>Article 11.2-</w:t>
        </w:r>
        <w:r>
          <w:rPr>
            <w:rFonts w:eastAsiaTheme="minorEastAsia"/>
            <w:i w:val="0"/>
            <w:noProof/>
            <w:kern w:val="2"/>
            <w:sz w:val="24"/>
            <w:szCs w:val="24"/>
            <w:lang w:eastAsia="fr-FR"/>
            <w14:ligatures w14:val="standardContextual"/>
          </w:rPr>
          <w:tab/>
        </w:r>
        <w:r w:rsidRPr="0095614D">
          <w:rPr>
            <w:rStyle w:val="Lienhypertexte"/>
            <w:noProof/>
          </w:rPr>
          <w:t>Confidentialité</w:t>
        </w:r>
        <w:r>
          <w:rPr>
            <w:noProof/>
            <w:webHidden/>
          </w:rPr>
          <w:tab/>
        </w:r>
        <w:r>
          <w:rPr>
            <w:noProof/>
            <w:webHidden/>
          </w:rPr>
          <w:fldChar w:fldCharType="begin"/>
        </w:r>
        <w:r>
          <w:rPr>
            <w:noProof/>
            <w:webHidden/>
          </w:rPr>
          <w:instrText xml:space="preserve"> PAGEREF _Toc222243957 \h </w:instrText>
        </w:r>
        <w:r>
          <w:rPr>
            <w:noProof/>
            <w:webHidden/>
          </w:rPr>
        </w:r>
        <w:r>
          <w:rPr>
            <w:noProof/>
            <w:webHidden/>
          </w:rPr>
          <w:fldChar w:fldCharType="separate"/>
        </w:r>
        <w:r>
          <w:rPr>
            <w:noProof/>
            <w:webHidden/>
          </w:rPr>
          <w:t>24</w:t>
        </w:r>
        <w:r>
          <w:rPr>
            <w:noProof/>
            <w:webHidden/>
          </w:rPr>
          <w:fldChar w:fldCharType="end"/>
        </w:r>
      </w:hyperlink>
    </w:p>
    <w:p w14:paraId="698ABB35" w14:textId="0A133628"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58" w:history="1">
        <w:r w:rsidRPr="0095614D">
          <w:rPr>
            <w:rStyle w:val="Lienhypertexte"/>
            <w:noProof/>
          </w:rPr>
          <w:t>Article 11.3-</w:t>
        </w:r>
        <w:r>
          <w:rPr>
            <w:rFonts w:eastAsiaTheme="minorEastAsia"/>
            <w:i w:val="0"/>
            <w:noProof/>
            <w:kern w:val="2"/>
            <w:sz w:val="24"/>
            <w:szCs w:val="24"/>
            <w:lang w:eastAsia="fr-FR"/>
            <w14:ligatures w14:val="standardContextual"/>
          </w:rPr>
          <w:tab/>
        </w:r>
        <w:r w:rsidRPr="0095614D">
          <w:rPr>
            <w:rStyle w:val="Lienhypertexte"/>
            <w:noProof/>
          </w:rPr>
          <w:t>Secret professionnel</w:t>
        </w:r>
        <w:r>
          <w:rPr>
            <w:noProof/>
            <w:webHidden/>
          </w:rPr>
          <w:tab/>
        </w:r>
        <w:r>
          <w:rPr>
            <w:noProof/>
            <w:webHidden/>
          </w:rPr>
          <w:fldChar w:fldCharType="begin"/>
        </w:r>
        <w:r>
          <w:rPr>
            <w:noProof/>
            <w:webHidden/>
          </w:rPr>
          <w:instrText xml:space="preserve"> PAGEREF _Toc222243958 \h </w:instrText>
        </w:r>
        <w:r>
          <w:rPr>
            <w:noProof/>
            <w:webHidden/>
          </w:rPr>
        </w:r>
        <w:r>
          <w:rPr>
            <w:noProof/>
            <w:webHidden/>
          </w:rPr>
          <w:fldChar w:fldCharType="separate"/>
        </w:r>
        <w:r>
          <w:rPr>
            <w:noProof/>
            <w:webHidden/>
          </w:rPr>
          <w:t>25</w:t>
        </w:r>
        <w:r>
          <w:rPr>
            <w:noProof/>
            <w:webHidden/>
          </w:rPr>
          <w:fldChar w:fldCharType="end"/>
        </w:r>
      </w:hyperlink>
    </w:p>
    <w:p w14:paraId="0A3CC0D7" w14:textId="1B0319B5"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59" w:history="1">
        <w:r w:rsidRPr="0095614D">
          <w:rPr>
            <w:rStyle w:val="Lienhypertexte"/>
            <w:noProof/>
          </w:rPr>
          <w:t>Article 11.4-</w:t>
        </w:r>
        <w:r>
          <w:rPr>
            <w:rFonts w:eastAsiaTheme="minorEastAsia"/>
            <w:i w:val="0"/>
            <w:noProof/>
            <w:kern w:val="2"/>
            <w:sz w:val="24"/>
            <w:szCs w:val="24"/>
            <w:lang w:eastAsia="fr-FR"/>
            <w14:ligatures w14:val="standardContextual"/>
          </w:rPr>
          <w:tab/>
        </w:r>
        <w:r w:rsidRPr="0095614D">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_Toc222243959 \h </w:instrText>
        </w:r>
        <w:r>
          <w:rPr>
            <w:noProof/>
            <w:webHidden/>
          </w:rPr>
        </w:r>
        <w:r>
          <w:rPr>
            <w:noProof/>
            <w:webHidden/>
          </w:rPr>
          <w:fldChar w:fldCharType="separate"/>
        </w:r>
        <w:r>
          <w:rPr>
            <w:noProof/>
            <w:webHidden/>
          </w:rPr>
          <w:t>25</w:t>
        </w:r>
        <w:r>
          <w:rPr>
            <w:noProof/>
            <w:webHidden/>
          </w:rPr>
          <w:fldChar w:fldCharType="end"/>
        </w:r>
      </w:hyperlink>
    </w:p>
    <w:p w14:paraId="57BEB0C0" w14:textId="0C5D7C16"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60" w:history="1">
        <w:r w:rsidRPr="0095614D">
          <w:rPr>
            <w:rStyle w:val="Lienhypertexte"/>
            <w:noProof/>
          </w:rPr>
          <w:t>Article 11.5-</w:t>
        </w:r>
        <w:r>
          <w:rPr>
            <w:rFonts w:eastAsiaTheme="minorEastAsia"/>
            <w:i w:val="0"/>
            <w:noProof/>
            <w:kern w:val="2"/>
            <w:sz w:val="24"/>
            <w:szCs w:val="24"/>
            <w:lang w:eastAsia="fr-FR"/>
            <w14:ligatures w14:val="standardContextual"/>
          </w:rPr>
          <w:tab/>
        </w:r>
        <w:r w:rsidRPr="0095614D">
          <w:rPr>
            <w:rStyle w:val="Lienhypertexte"/>
            <w:noProof/>
          </w:rPr>
          <w:t>Responsabilité du titulaire</w:t>
        </w:r>
        <w:r>
          <w:rPr>
            <w:noProof/>
            <w:webHidden/>
          </w:rPr>
          <w:tab/>
        </w:r>
        <w:r>
          <w:rPr>
            <w:noProof/>
            <w:webHidden/>
          </w:rPr>
          <w:fldChar w:fldCharType="begin"/>
        </w:r>
        <w:r>
          <w:rPr>
            <w:noProof/>
            <w:webHidden/>
          </w:rPr>
          <w:instrText xml:space="preserve"> PAGEREF _Toc222243960 \h </w:instrText>
        </w:r>
        <w:r>
          <w:rPr>
            <w:noProof/>
            <w:webHidden/>
          </w:rPr>
        </w:r>
        <w:r>
          <w:rPr>
            <w:noProof/>
            <w:webHidden/>
          </w:rPr>
          <w:fldChar w:fldCharType="separate"/>
        </w:r>
        <w:r>
          <w:rPr>
            <w:noProof/>
            <w:webHidden/>
          </w:rPr>
          <w:t>25</w:t>
        </w:r>
        <w:r>
          <w:rPr>
            <w:noProof/>
            <w:webHidden/>
          </w:rPr>
          <w:fldChar w:fldCharType="end"/>
        </w:r>
      </w:hyperlink>
    </w:p>
    <w:p w14:paraId="498F9BE1" w14:textId="0D6A4FE4"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61" w:history="1">
        <w:r w:rsidRPr="0095614D">
          <w:rPr>
            <w:rStyle w:val="Lienhypertexte"/>
            <w:noProof/>
          </w:rPr>
          <w:t>Article 11.6-</w:t>
        </w:r>
        <w:r>
          <w:rPr>
            <w:rFonts w:eastAsiaTheme="minorEastAsia"/>
            <w:i w:val="0"/>
            <w:noProof/>
            <w:kern w:val="2"/>
            <w:sz w:val="24"/>
            <w:szCs w:val="24"/>
            <w:lang w:eastAsia="fr-FR"/>
            <w14:ligatures w14:val="standardContextual"/>
          </w:rPr>
          <w:tab/>
        </w:r>
        <w:r w:rsidRPr="0095614D">
          <w:rPr>
            <w:rStyle w:val="Lienhypertexte"/>
            <w:noProof/>
          </w:rPr>
          <w:t>Protection de l’environnement</w:t>
        </w:r>
        <w:r>
          <w:rPr>
            <w:noProof/>
            <w:webHidden/>
          </w:rPr>
          <w:tab/>
        </w:r>
        <w:r>
          <w:rPr>
            <w:noProof/>
            <w:webHidden/>
          </w:rPr>
          <w:fldChar w:fldCharType="begin"/>
        </w:r>
        <w:r>
          <w:rPr>
            <w:noProof/>
            <w:webHidden/>
          </w:rPr>
          <w:instrText xml:space="preserve"> PAGEREF _Toc222243961 \h </w:instrText>
        </w:r>
        <w:r>
          <w:rPr>
            <w:noProof/>
            <w:webHidden/>
          </w:rPr>
        </w:r>
        <w:r>
          <w:rPr>
            <w:noProof/>
            <w:webHidden/>
          </w:rPr>
          <w:fldChar w:fldCharType="separate"/>
        </w:r>
        <w:r>
          <w:rPr>
            <w:noProof/>
            <w:webHidden/>
          </w:rPr>
          <w:t>25</w:t>
        </w:r>
        <w:r>
          <w:rPr>
            <w:noProof/>
            <w:webHidden/>
          </w:rPr>
          <w:fldChar w:fldCharType="end"/>
        </w:r>
      </w:hyperlink>
    </w:p>
    <w:p w14:paraId="255BD052" w14:textId="65DE2F01"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62" w:history="1">
        <w:r w:rsidRPr="0095614D">
          <w:rPr>
            <w:rStyle w:val="Lienhypertexte"/>
            <w:noProof/>
          </w:rPr>
          <w:t>Article 11.7-</w:t>
        </w:r>
        <w:r>
          <w:rPr>
            <w:rFonts w:eastAsiaTheme="minorEastAsia"/>
            <w:i w:val="0"/>
            <w:noProof/>
            <w:kern w:val="2"/>
            <w:sz w:val="24"/>
            <w:szCs w:val="24"/>
            <w:lang w:eastAsia="fr-FR"/>
            <w14:ligatures w14:val="standardContextual"/>
          </w:rPr>
          <w:tab/>
        </w:r>
        <w:r w:rsidRPr="0095614D">
          <w:rPr>
            <w:rStyle w:val="Lienhypertexte"/>
            <w:noProof/>
          </w:rPr>
          <w:t>Procédure de maintien en condition de sécurité</w:t>
        </w:r>
        <w:r>
          <w:rPr>
            <w:noProof/>
            <w:webHidden/>
          </w:rPr>
          <w:tab/>
        </w:r>
        <w:r>
          <w:rPr>
            <w:noProof/>
            <w:webHidden/>
          </w:rPr>
          <w:fldChar w:fldCharType="begin"/>
        </w:r>
        <w:r>
          <w:rPr>
            <w:noProof/>
            <w:webHidden/>
          </w:rPr>
          <w:instrText xml:space="preserve"> PAGEREF _Toc222243962 \h </w:instrText>
        </w:r>
        <w:r>
          <w:rPr>
            <w:noProof/>
            <w:webHidden/>
          </w:rPr>
        </w:r>
        <w:r>
          <w:rPr>
            <w:noProof/>
            <w:webHidden/>
          </w:rPr>
          <w:fldChar w:fldCharType="separate"/>
        </w:r>
        <w:r>
          <w:rPr>
            <w:noProof/>
            <w:webHidden/>
          </w:rPr>
          <w:t>26</w:t>
        </w:r>
        <w:r>
          <w:rPr>
            <w:noProof/>
            <w:webHidden/>
          </w:rPr>
          <w:fldChar w:fldCharType="end"/>
        </w:r>
      </w:hyperlink>
    </w:p>
    <w:p w14:paraId="4E539B80" w14:textId="77A2021F"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63" w:history="1">
        <w:r w:rsidRPr="0095614D">
          <w:rPr>
            <w:rStyle w:val="Lienhypertexte"/>
            <w:noProof/>
          </w:rPr>
          <w:t>Article 11.8-</w:t>
        </w:r>
        <w:r>
          <w:rPr>
            <w:rFonts w:eastAsiaTheme="minorEastAsia"/>
            <w:i w:val="0"/>
            <w:noProof/>
            <w:kern w:val="2"/>
            <w:sz w:val="24"/>
            <w:szCs w:val="24"/>
            <w:lang w:eastAsia="fr-FR"/>
            <w14:ligatures w14:val="standardContextual"/>
          </w:rPr>
          <w:tab/>
        </w:r>
        <w:r w:rsidRPr="0095614D">
          <w:rPr>
            <w:rStyle w:val="Lienhypertexte"/>
            <w:noProof/>
          </w:rPr>
          <w:t>Inventaire des composants techniques et logiciels</w:t>
        </w:r>
        <w:r>
          <w:rPr>
            <w:noProof/>
            <w:webHidden/>
          </w:rPr>
          <w:tab/>
        </w:r>
        <w:r>
          <w:rPr>
            <w:noProof/>
            <w:webHidden/>
          </w:rPr>
          <w:fldChar w:fldCharType="begin"/>
        </w:r>
        <w:r>
          <w:rPr>
            <w:noProof/>
            <w:webHidden/>
          </w:rPr>
          <w:instrText xml:space="preserve"> PAGEREF _Toc222243963 \h </w:instrText>
        </w:r>
        <w:r>
          <w:rPr>
            <w:noProof/>
            <w:webHidden/>
          </w:rPr>
        </w:r>
        <w:r>
          <w:rPr>
            <w:noProof/>
            <w:webHidden/>
          </w:rPr>
          <w:fldChar w:fldCharType="separate"/>
        </w:r>
        <w:r>
          <w:rPr>
            <w:noProof/>
            <w:webHidden/>
          </w:rPr>
          <w:t>26</w:t>
        </w:r>
        <w:r>
          <w:rPr>
            <w:noProof/>
            <w:webHidden/>
          </w:rPr>
          <w:fldChar w:fldCharType="end"/>
        </w:r>
      </w:hyperlink>
    </w:p>
    <w:p w14:paraId="788162CD" w14:textId="1496C24B"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64" w:history="1">
        <w:r w:rsidRPr="0095614D">
          <w:rPr>
            <w:rStyle w:val="Lienhypertexte"/>
            <w:noProof/>
          </w:rPr>
          <w:t>Article 11.9-</w:t>
        </w:r>
        <w:r>
          <w:rPr>
            <w:rFonts w:eastAsiaTheme="minorEastAsia"/>
            <w:i w:val="0"/>
            <w:noProof/>
            <w:kern w:val="2"/>
            <w:sz w:val="24"/>
            <w:szCs w:val="24"/>
            <w:lang w:eastAsia="fr-FR"/>
            <w14:ligatures w14:val="standardContextual"/>
          </w:rPr>
          <w:tab/>
        </w:r>
        <w:r w:rsidRPr="0095614D">
          <w:rPr>
            <w:rStyle w:val="Lienhypertexte"/>
            <w:noProof/>
          </w:rPr>
          <w:t>Devoir de conseil</w:t>
        </w:r>
        <w:r>
          <w:rPr>
            <w:noProof/>
            <w:webHidden/>
          </w:rPr>
          <w:tab/>
        </w:r>
        <w:r>
          <w:rPr>
            <w:noProof/>
            <w:webHidden/>
          </w:rPr>
          <w:fldChar w:fldCharType="begin"/>
        </w:r>
        <w:r>
          <w:rPr>
            <w:noProof/>
            <w:webHidden/>
          </w:rPr>
          <w:instrText xml:space="preserve"> PAGEREF _Toc222243964 \h </w:instrText>
        </w:r>
        <w:r>
          <w:rPr>
            <w:noProof/>
            <w:webHidden/>
          </w:rPr>
        </w:r>
        <w:r>
          <w:rPr>
            <w:noProof/>
            <w:webHidden/>
          </w:rPr>
          <w:fldChar w:fldCharType="separate"/>
        </w:r>
        <w:r>
          <w:rPr>
            <w:noProof/>
            <w:webHidden/>
          </w:rPr>
          <w:t>26</w:t>
        </w:r>
        <w:r>
          <w:rPr>
            <w:noProof/>
            <w:webHidden/>
          </w:rPr>
          <w:fldChar w:fldCharType="end"/>
        </w:r>
      </w:hyperlink>
    </w:p>
    <w:p w14:paraId="16B8427E" w14:textId="382C94B2"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65" w:history="1">
        <w:r w:rsidRPr="0095614D">
          <w:rPr>
            <w:rStyle w:val="Lienhypertexte"/>
            <w:noProof/>
          </w:rPr>
          <w:t>Article 11.10-</w:t>
        </w:r>
        <w:r>
          <w:rPr>
            <w:rFonts w:eastAsiaTheme="minorEastAsia"/>
            <w:i w:val="0"/>
            <w:noProof/>
            <w:kern w:val="2"/>
            <w:sz w:val="24"/>
            <w:szCs w:val="24"/>
            <w:lang w:eastAsia="fr-FR"/>
            <w14:ligatures w14:val="standardContextual"/>
          </w:rPr>
          <w:tab/>
        </w:r>
        <w:r w:rsidRPr="0095614D">
          <w:rPr>
            <w:rStyle w:val="Lienhypertexte"/>
            <w:noProof/>
          </w:rPr>
          <w:t>Mises à jour et nouvelles versions de logiciels – Documentation technique</w:t>
        </w:r>
        <w:r>
          <w:rPr>
            <w:noProof/>
            <w:webHidden/>
          </w:rPr>
          <w:tab/>
        </w:r>
        <w:r>
          <w:rPr>
            <w:noProof/>
            <w:webHidden/>
          </w:rPr>
          <w:fldChar w:fldCharType="begin"/>
        </w:r>
        <w:r>
          <w:rPr>
            <w:noProof/>
            <w:webHidden/>
          </w:rPr>
          <w:instrText xml:space="preserve"> PAGEREF _Toc222243965 \h </w:instrText>
        </w:r>
        <w:r>
          <w:rPr>
            <w:noProof/>
            <w:webHidden/>
          </w:rPr>
        </w:r>
        <w:r>
          <w:rPr>
            <w:noProof/>
            <w:webHidden/>
          </w:rPr>
          <w:fldChar w:fldCharType="separate"/>
        </w:r>
        <w:r>
          <w:rPr>
            <w:noProof/>
            <w:webHidden/>
          </w:rPr>
          <w:t>26</w:t>
        </w:r>
        <w:r>
          <w:rPr>
            <w:noProof/>
            <w:webHidden/>
          </w:rPr>
          <w:fldChar w:fldCharType="end"/>
        </w:r>
      </w:hyperlink>
    </w:p>
    <w:p w14:paraId="35DBA488" w14:textId="46144F00" w:rsidR="00903516" w:rsidRDefault="00903516">
      <w:pPr>
        <w:pStyle w:val="TM1"/>
        <w:rPr>
          <w:rFonts w:eastAsiaTheme="minorEastAsia"/>
          <w:b w:val="0"/>
          <w:noProof/>
          <w:kern w:val="2"/>
          <w:sz w:val="24"/>
          <w:szCs w:val="24"/>
          <w:lang w:eastAsia="fr-FR"/>
          <w14:ligatures w14:val="standardContextual"/>
        </w:rPr>
      </w:pPr>
      <w:hyperlink w:anchor="_Toc222243966" w:history="1">
        <w:r w:rsidRPr="0095614D">
          <w:rPr>
            <w:rStyle w:val="Lienhypertexte"/>
            <w:noProof/>
          </w:rPr>
          <w:t>ARTICLE 12-</w:t>
        </w:r>
        <w:r>
          <w:rPr>
            <w:rFonts w:eastAsiaTheme="minorEastAsia"/>
            <w:b w:val="0"/>
            <w:noProof/>
            <w:kern w:val="2"/>
            <w:sz w:val="24"/>
            <w:szCs w:val="24"/>
            <w:lang w:eastAsia="fr-FR"/>
            <w14:ligatures w14:val="standardContextual"/>
          </w:rPr>
          <w:tab/>
        </w:r>
        <w:r w:rsidRPr="0095614D">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_Toc222243966 \h </w:instrText>
        </w:r>
        <w:r>
          <w:rPr>
            <w:noProof/>
            <w:webHidden/>
          </w:rPr>
        </w:r>
        <w:r>
          <w:rPr>
            <w:noProof/>
            <w:webHidden/>
          </w:rPr>
          <w:fldChar w:fldCharType="separate"/>
        </w:r>
        <w:r>
          <w:rPr>
            <w:noProof/>
            <w:webHidden/>
          </w:rPr>
          <w:t>26</w:t>
        </w:r>
        <w:r>
          <w:rPr>
            <w:noProof/>
            <w:webHidden/>
          </w:rPr>
          <w:fldChar w:fldCharType="end"/>
        </w:r>
      </w:hyperlink>
    </w:p>
    <w:p w14:paraId="4643B731" w14:textId="4054B8E5"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67" w:history="1">
        <w:r w:rsidRPr="0095614D">
          <w:rPr>
            <w:rStyle w:val="Lienhypertexte"/>
            <w:noProof/>
          </w:rPr>
          <w:t>Article 12.1-</w:t>
        </w:r>
        <w:r>
          <w:rPr>
            <w:rFonts w:eastAsiaTheme="minorEastAsia"/>
            <w:i w:val="0"/>
            <w:noProof/>
            <w:kern w:val="2"/>
            <w:sz w:val="24"/>
            <w:szCs w:val="24"/>
            <w:lang w:eastAsia="fr-FR"/>
            <w14:ligatures w14:val="standardContextual"/>
          </w:rPr>
          <w:tab/>
        </w:r>
        <w:r w:rsidRPr="0095614D">
          <w:rPr>
            <w:rStyle w:val="Lienhypertexte"/>
            <w:noProof/>
          </w:rPr>
          <w:t>Traitements de données à caractère personnel nécessaires à la réalisation des prestations</w:t>
        </w:r>
        <w:r>
          <w:rPr>
            <w:rStyle w:val="Lienhypertexte"/>
            <w:noProof/>
          </w:rPr>
          <w:tab/>
        </w:r>
        <w:r>
          <w:rPr>
            <w:noProof/>
            <w:webHidden/>
          </w:rPr>
          <w:tab/>
        </w:r>
        <w:r>
          <w:rPr>
            <w:noProof/>
            <w:webHidden/>
          </w:rPr>
          <w:fldChar w:fldCharType="begin"/>
        </w:r>
        <w:r>
          <w:rPr>
            <w:noProof/>
            <w:webHidden/>
          </w:rPr>
          <w:instrText xml:space="preserve"> PAGEREF _Toc222243967 \h </w:instrText>
        </w:r>
        <w:r>
          <w:rPr>
            <w:noProof/>
            <w:webHidden/>
          </w:rPr>
        </w:r>
        <w:r>
          <w:rPr>
            <w:noProof/>
            <w:webHidden/>
          </w:rPr>
          <w:fldChar w:fldCharType="separate"/>
        </w:r>
        <w:r>
          <w:rPr>
            <w:noProof/>
            <w:webHidden/>
          </w:rPr>
          <w:t>27</w:t>
        </w:r>
        <w:r>
          <w:rPr>
            <w:noProof/>
            <w:webHidden/>
          </w:rPr>
          <w:fldChar w:fldCharType="end"/>
        </w:r>
      </w:hyperlink>
    </w:p>
    <w:p w14:paraId="2ED7BF13" w14:textId="2909991C"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68" w:history="1">
        <w:r w:rsidRPr="0095614D">
          <w:rPr>
            <w:rStyle w:val="Lienhypertexte"/>
            <w:noProof/>
          </w:rPr>
          <w:t>Article 12.2-</w:t>
        </w:r>
        <w:r>
          <w:rPr>
            <w:rFonts w:eastAsiaTheme="minorEastAsia"/>
            <w:i w:val="0"/>
            <w:noProof/>
            <w:kern w:val="2"/>
            <w:sz w:val="24"/>
            <w:szCs w:val="24"/>
            <w:lang w:eastAsia="fr-FR"/>
            <w14:ligatures w14:val="standardContextual"/>
          </w:rPr>
          <w:tab/>
        </w:r>
        <w:r w:rsidRPr="0095614D">
          <w:rPr>
            <w:rStyle w:val="Lienhypertexte"/>
            <w:noProof/>
          </w:rPr>
          <w:t>Suivi des relations contractuelles</w:t>
        </w:r>
        <w:r>
          <w:rPr>
            <w:noProof/>
            <w:webHidden/>
          </w:rPr>
          <w:tab/>
        </w:r>
        <w:r>
          <w:rPr>
            <w:noProof/>
            <w:webHidden/>
          </w:rPr>
          <w:fldChar w:fldCharType="begin"/>
        </w:r>
        <w:r>
          <w:rPr>
            <w:noProof/>
            <w:webHidden/>
          </w:rPr>
          <w:instrText xml:space="preserve"> PAGEREF _Toc222243968 \h </w:instrText>
        </w:r>
        <w:r>
          <w:rPr>
            <w:noProof/>
            <w:webHidden/>
          </w:rPr>
        </w:r>
        <w:r>
          <w:rPr>
            <w:noProof/>
            <w:webHidden/>
          </w:rPr>
          <w:fldChar w:fldCharType="separate"/>
        </w:r>
        <w:r>
          <w:rPr>
            <w:noProof/>
            <w:webHidden/>
          </w:rPr>
          <w:t>28</w:t>
        </w:r>
        <w:r>
          <w:rPr>
            <w:noProof/>
            <w:webHidden/>
          </w:rPr>
          <w:fldChar w:fldCharType="end"/>
        </w:r>
      </w:hyperlink>
    </w:p>
    <w:p w14:paraId="25CA0170" w14:textId="6C0952D5" w:rsidR="00903516" w:rsidRDefault="00903516">
      <w:pPr>
        <w:pStyle w:val="TM1"/>
        <w:rPr>
          <w:rFonts w:eastAsiaTheme="minorEastAsia"/>
          <w:b w:val="0"/>
          <w:noProof/>
          <w:kern w:val="2"/>
          <w:sz w:val="24"/>
          <w:szCs w:val="24"/>
          <w:lang w:eastAsia="fr-FR"/>
          <w14:ligatures w14:val="standardContextual"/>
        </w:rPr>
      </w:pPr>
      <w:hyperlink w:anchor="_Toc222243969" w:history="1">
        <w:r w:rsidRPr="0095614D">
          <w:rPr>
            <w:rStyle w:val="Lienhypertexte"/>
            <w:noProof/>
          </w:rPr>
          <w:t>ARTICLE 13-</w:t>
        </w:r>
        <w:r>
          <w:rPr>
            <w:rFonts w:eastAsiaTheme="minorEastAsia"/>
            <w:b w:val="0"/>
            <w:noProof/>
            <w:kern w:val="2"/>
            <w:sz w:val="24"/>
            <w:szCs w:val="24"/>
            <w:lang w:eastAsia="fr-FR"/>
            <w14:ligatures w14:val="standardContextual"/>
          </w:rPr>
          <w:tab/>
        </w:r>
        <w:r w:rsidRPr="0095614D">
          <w:rPr>
            <w:rStyle w:val="Lienhypertexte"/>
            <w:noProof/>
          </w:rPr>
          <w:t>Pénalités</w:t>
        </w:r>
        <w:r>
          <w:rPr>
            <w:noProof/>
            <w:webHidden/>
          </w:rPr>
          <w:tab/>
        </w:r>
        <w:r>
          <w:rPr>
            <w:noProof/>
            <w:webHidden/>
          </w:rPr>
          <w:fldChar w:fldCharType="begin"/>
        </w:r>
        <w:r>
          <w:rPr>
            <w:noProof/>
            <w:webHidden/>
          </w:rPr>
          <w:instrText xml:space="preserve"> PAGEREF _Toc222243969 \h </w:instrText>
        </w:r>
        <w:r>
          <w:rPr>
            <w:noProof/>
            <w:webHidden/>
          </w:rPr>
        </w:r>
        <w:r>
          <w:rPr>
            <w:noProof/>
            <w:webHidden/>
          </w:rPr>
          <w:fldChar w:fldCharType="separate"/>
        </w:r>
        <w:r>
          <w:rPr>
            <w:noProof/>
            <w:webHidden/>
          </w:rPr>
          <w:t>29</w:t>
        </w:r>
        <w:r>
          <w:rPr>
            <w:noProof/>
            <w:webHidden/>
          </w:rPr>
          <w:fldChar w:fldCharType="end"/>
        </w:r>
      </w:hyperlink>
    </w:p>
    <w:p w14:paraId="51A5EEBE" w14:textId="036F1DB7"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0" w:history="1">
        <w:r w:rsidRPr="0095614D">
          <w:rPr>
            <w:rStyle w:val="Lienhypertexte"/>
            <w:noProof/>
          </w:rPr>
          <w:t>Article 13.1-</w:t>
        </w:r>
        <w:r>
          <w:rPr>
            <w:rFonts w:eastAsiaTheme="minorEastAsia"/>
            <w:i w:val="0"/>
            <w:noProof/>
            <w:kern w:val="2"/>
            <w:sz w:val="24"/>
            <w:szCs w:val="24"/>
            <w:lang w:eastAsia="fr-FR"/>
            <w14:ligatures w14:val="standardContextual"/>
          </w:rPr>
          <w:tab/>
        </w:r>
        <w:r w:rsidRPr="0095614D">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_Toc222243970 \h </w:instrText>
        </w:r>
        <w:r>
          <w:rPr>
            <w:noProof/>
            <w:webHidden/>
          </w:rPr>
        </w:r>
        <w:r>
          <w:rPr>
            <w:noProof/>
            <w:webHidden/>
          </w:rPr>
          <w:fldChar w:fldCharType="separate"/>
        </w:r>
        <w:r>
          <w:rPr>
            <w:noProof/>
            <w:webHidden/>
          </w:rPr>
          <w:t>29</w:t>
        </w:r>
        <w:r>
          <w:rPr>
            <w:noProof/>
            <w:webHidden/>
          </w:rPr>
          <w:fldChar w:fldCharType="end"/>
        </w:r>
      </w:hyperlink>
    </w:p>
    <w:p w14:paraId="65C4CCAF" w14:textId="4964C36E"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1" w:history="1">
        <w:r w:rsidRPr="0095614D">
          <w:rPr>
            <w:rStyle w:val="Lienhypertexte"/>
            <w:noProof/>
          </w:rPr>
          <w:t>Article 13.2-</w:t>
        </w:r>
        <w:r>
          <w:rPr>
            <w:rFonts w:eastAsiaTheme="minorEastAsia"/>
            <w:i w:val="0"/>
            <w:noProof/>
            <w:kern w:val="2"/>
            <w:sz w:val="24"/>
            <w:szCs w:val="24"/>
            <w:lang w:eastAsia="fr-FR"/>
            <w14:ligatures w14:val="standardContextual"/>
          </w:rPr>
          <w:tab/>
        </w:r>
        <w:r w:rsidRPr="0095614D">
          <w:rPr>
            <w:rStyle w:val="Lienhypertexte"/>
            <w:noProof/>
          </w:rPr>
          <w:t>Pénalités pour indisponibilité</w:t>
        </w:r>
        <w:r>
          <w:rPr>
            <w:noProof/>
            <w:webHidden/>
          </w:rPr>
          <w:tab/>
        </w:r>
        <w:r>
          <w:rPr>
            <w:noProof/>
            <w:webHidden/>
          </w:rPr>
          <w:fldChar w:fldCharType="begin"/>
        </w:r>
        <w:r>
          <w:rPr>
            <w:noProof/>
            <w:webHidden/>
          </w:rPr>
          <w:instrText xml:space="preserve"> PAGEREF _Toc222243971 \h </w:instrText>
        </w:r>
        <w:r>
          <w:rPr>
            <w:noProof/>
            <w:webHidden/>
          </w:rPr>
        </w:r>
        <w:r>
          <w:rPr>
            <w:noProof/>
            <w:webHidden/>
          </w:rPr>
          <w:fldChar w:fldCharType="separate"/>
        </w:r>
        <w:r>
          <w:rPr>
            <w:noProof/>
            <w:webHidden/>
          </w:rPr>
          <w:t>30</w:t>
        </w:r>
        <w:r>
          <w:rPr>
            <w:noProof/>
            <w:webHidden/>
          </w:rPr>
          <w:fldChar w:fldCharType="end"/>
        </w:r>
      </w:hyperlink>
    </w:p>
    <w:p w14:paraId="49ED315C" w14:textId="4E0482FC"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2" w:history="1">
        <w:r w:rsidRPr="0095614D">
          <w:rPr>
            <w:rStyle w:val="Lienhypertexte"/>
            <w:noProof/>
          </w:rPr>
          <w:t>Article 13.3-</w:t>
        </w:r>
        <w:r>
          <w:rPr>
            <w:rFonts w:eastAsiaTheme="minorEastAsia"/>
            <w:i w:val="0"/>
            <w:noProof/>
            <w:kern w:val="2"/>
            <w:sz w:val="24"/>
            <w:szCs w:val="24"/>
            <w:lang w:eastAsia="fr-FR"/>
            <w14:ligatures w14:val="standardContextual"/>
          </w:rPr>
          <w:tab/>
        </w:r>
        <w:r w:rsidRPr="0095614D">
          <w:rPr>
            <w:rStyle w:val="Lienhypertexte"/>
            <w:noProof/>
          </w:rPr>
          <w:t>Pénalités relatives à la réversibilité</w:t>
        </w:r>
        <w:r>
          <w:rPr>
            <w:noProof/>
            <w:webHidden/>
          </w:rPr>
          <w:tab/>
        </w:r>
        <w:r>
          <w:rPr>
            <w:noProof/>
            <w:webHidden/>
          </w:rPr>
          <w:fldChar w:fldCharType="begin"/>
        </w:r>
        <w:r>
          <w:rPr>
            <w:noProof/>
            <w:webHidden/>
          </w:rPr>
          <w:instrText xml:space="preserve"> PAGEREF _Toc222243972 \h </w:instrText>
        </w:r>
        <w:r>
          <w:rPr>
            <w:noProof/>
            <w:webHidden/>
          </w:rPr>
        </w:r>
        <w:r>
          <w:rPr>
            <w:noProof/>
            <w:webHidden/>
          </w:rPr>
          <w:fldChar w:fldCharType="separate"/>
        </w:r>
        <w:r>
          <w:rPr>
            <w:noProof/>
            <w:webHidden/>
          </w:rPr>
          <w:t>30</w:t>
        </w:r>
        <w:r>
          <w:rPr>
            <w:noProof/>
            <w:webHidden/>
          </w:rPr>
          <w:fldChar w:fldCharType="end"/>
        </w:r>
      </w:hyperlink>
    </w:p>
    <w:p w14:paraId="2B8B83D2" w14:textId="0D460BF3"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3" w:history="1">
        <w:r w:rsidRPr="0095614D">
          <w:rPr>
            <w:rStyle w:val="Lienhypertexte"/>
            <w:noProof/>
          </w:rPr>
          <w:t>Article 13.4-</w:t>
        </w:r>
        <w:r>
          <w:rPr>
            <w:rFonts w:eastAsiaTheme="minorEastAsia"/>
            <w:i w:val="0"/>
            <w:noProof/>
            <w:kern w:val="2"/>
            <w:sz w:val="24"/>
            <w:szCs w:val="24"/>
            <w:lang w:eastAsia="fr-FR"/>
            <w14:ligatures w14:val="standardContextual"/>
          </w:rPr>
          <w:tab/>
        </w:r>
        <w:r w:rsidRPr="0095614D">
          <w:rPr>
            <w:rStyle w:val="Lienhypertexte"/>
            <w:noProof/>
          </w:rPr>
          <w:t>Pénalités pour non-respect des obligations en matière de lutte contre le travail dissimulé</w:t>
        </w:r>
        <w:r>
          <w:rPr>
            <w:noProof/>
            <w:webHidden/>
          </w:rPr>
          <w:tab/>
        </w:r>
        <w:r>
          <w:rPr>
            <w:noProof/>
            <w:webHidden/>
          </w:rPr>
          <w:tab/>
        </w:r>
        <w:r>
          <w:rPr>
            <w:noProof/>
            <w:webHidden/>
          </w:rPr>
          <w:fldChar w:fldCharType="begin"/>
        </w:r>
        <w:r>
          <w:rPr>
            <w:noProof/>
            <w:webHidden/>
          </w:rPr>
          <w:instrText xml:space="preserve"> PAGEREF _Toc222243973 \h </w:instrText>
        </w:r>
        <w:r>
          <w:rPr>
            <w:noProof/>
            <w:webHidden/>
          </w:rPr>
        </w:r>
        <w:r>
          <w:rPr>
            <w:noProof/>
            <w:webHidden/>
          </w:rPr>
          <w:fldChar w:fldCharType="separate"/>
        </w:r>
        <w:r>
          <w:rPr>
            <w:noProof/>
            <w:webHidden/>
          </w:rPr>
          <w:t>30</w:t>
        </w:r>
        <w:r>
          <w:rPr>
            <w:noProof/>
            <w:webHidden/>
          </w:rPr>
          <w:fldChar w:fldCharType="end"/>
        </w:r>
      </w:hyperlink>
    </w:p>
    <w:p w14:paraId="224CCA43" w14:textId="280FB2A8"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4" w:history="1">
        <w:r w:rsidRPr="0095614D">
          <w:rPr>
            <w:rStyle w:val="Lienhypertexte"/>
            <w:noProof/>
          </w:rPr>
          <w:t>Article 13.5-</w:t>
        </w:r>
        <w:r>
          <w:rPr>
            <w:rFonts w:eastAsiaTheme="minorEastAsia"/>
            <w:i w:val="0"/>
            <w:noProof/>
            <w:kern w:val="2"/>
            <w:sz w:val="24"/>
            <w:szCs w:val="24"/>
            <w:lang w:eastAsia="fr-FR"/>
            <w14:ligatures w14:val="standardContextual"/>
          </w:rPr>
          <w:tab/>
        </w:r>
        <w:r w:rsidRPr="0095614D">
          <w:rPr>
            <w:rStyle w:val="Lienhypertexte"/>
            <w:noProof/>
          </w:rPr>
          <w:t>Autres pénalités</w:t>
        </w:r>
        <w:r>
          <w:rPr>
            <w:noProof/>
            <w:webHidden/>
          </w:rPr>
          <w:tab/>
        </w:r>
        <w:r>
          <w:rPr>
            <w:noProof/>
            <w:webHidden/>
          </w:rPr>
          <w:fldChar w:fldCharType="begin"/>
        </w:r>
        <w:r>
          <w:rPr>
            <w:noProof/>
            <w:webHidden/>
          </w:rPr>
          <w:instrText xml:space="preserve"> PAGEREF _Toc222243974 \h </w:instrText>
        </w:r>
        <w:r>
          <w:rPr>
            <w:noProof/>
            <w:webHidden/>
          </w:rPr>
        </w:r>
        <w:r>
          <w:rPr>
            <w:noProof/>
            <w:webHidden/>
          </w:rPr>
          <w:fldChar w:fldCharType="separate"/>
        </w:r>
        <w:r>
          <w:rPr>
            <w:noProof/>
            <w:webHidden/>
          </w:rPr>
          <w:t>30</w:t>
        </w:r>
        <w:r>
          <w:rPr>
            <w:noProof/>
            <w:webHidden/>
          </w:rPr>
          <w:fldChar w:fldCharType="end"/>
        </w:r>
      </w:hyperlink>
    </w:p>
    <w:p w14:paraId="76F81DF0" w14:textId="71917B5E" w:rsidR="00903516" w:rsidRDefault="00903516">
      <w:pPr>
        <w:pStyle w:val="TM1"/>
        <w:rPr>
          <w:rFonts w:eastAsiaTheme="minorEastAsia"/>
          <w:b w:val="0"/>
          <w:noProof/>
          <w:kern w:val="2"/>
          <w:sz w:val="24"/>
          <w:szCs w:val="24"/>
          <w:lang w:eastAsia="fr-FR"/>
          <w14:ligatures w14:val="standardContextual"/>
        </w:rPr>
      </w:pPr>
      <w:hyperlink w:anchor="_Toc222243975" w:history="1">
        <w:r w:rsidRPr="0095614D">
          <w:rPr>
            <w:rStyle w:val="Lienhypertexte"/>
            <w:noProof/>
          </w:rPr>
          <w:t>ARTICLE 14-</w:t>
        </w:r>
        <w:r>
          <w:rPr>
            <w:rFonts w:eastAsiaTheme="minorEastAsia"/>
            <w:b w:val="0"/>
            <w:noProof/>
            <w:kern w:val="2"/>
            <w:sz w:val="24"/>
            <w:szCs w:val="24"/>
            <w:lang w:eastAsia="fr-FR"/>
            <w14:ligatures w14:val="standardContextual"/>
          </w:rPr>
          <w:tab/>
        </w:r>
        <w:r w:rsidRPr="0095614D">
          <w:rPr>
            <w:rStyle w:val="Lienhypertexte"/>
            <w:noProof/>
          </w:rPr>
          <w:t>Constatation de l’exécution des prestations</w:t>
        </w:r>
        <w:r>
          <w:rPr>
            <w:noProof/>
            <w:webHidden/>
          </w:rPr>
          <w:tab/>
        </w:r>
        <w:r>
          <w:rPr>
            <w:noProof/>
            <w:webHidden/>
          </w:rPr>
          <w:fldChar w:fldCharType="begin"/>
        </w:r>
        <w:r>
          <w:rPr>
            <w:noProof/>
            <w:webHidden/>
          </w:rPr>
          <w:instrText xml:space="preserve"> PAGEREF _Toc222243975 \h </w:instrText>
        </w:r>
        <w:r>
          <w:rPr>
            <w:noProof/>
            <w:webHidden/>
          </w:rPr>
        </w:r>
        <w:r>
          <w:rPr>
            <w:noProof/>
            <w:webHidden/>
          </w:rPr>
          <w:fldChar w:fldCharType="separate"/>
        </w:r>
        <w:r>
          <w:rPr>
            <w:noProof/>
            <w:webHidden/>
          </w:rPr>
          <w:t>31</w:t>
        </w:r>
        <w:r>
          <w:rPr>
            <w:noProof/>
            <w:webHidden/>
          </w:rPr>
          <w:fldChar w:fldCharType="end"/>
        </w:r>
      </w:hyperlink>
    </w:p>
    <w:p w14:paraId="27A189D5" w14:textId="4FEAAEB4"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6" w:history="1">
        <w:r w:rsidRPr="0095614D">
          <w:rPr>
            <w:rStyle w:val="Lienhypertexte"/>
            <w:noProof/>
          </w:rPr>
          <w:t>Article 14.1-</w:t>
        </w:r>
        <w:r>
          <w:rPr>
            <w:rFonts w:eastAsiaTheme="minorEastAsia"/>
            <w:i w:val="0"/>
            <w:noProof/>
            <w:kern w:val="2"/>
            <w:sz w:val="24"/>
            <w:szCs w:val="24"/>
            <w:lang w:eastAsia="fr-FR"/>
            <w14:ligatures w14:val="standardContextual"/>
          </w:rPr>
          <w:tab/>
        </w:r>
        <w:r w:rsidRPr="0095614D">
          <w:rPr>
            <w:rStyle w:val="Lienhypertexte"/>
            <w:noProof/>
          </w:rPr>
          <w:t>Installation et mise en ordre de marche</w:t>
        </w:r>
        <w:r>
          <w:rPr>
            <w:noProof/>
            <w:webHidden/>
          </w:rPr>
          <w:tab/>
        </w:r>
        <w:r>
          <w:rPr>
            <w:noProof/>
            <w:webHidden/>
          </w:rPr>
          <w:fldChar w:fldCharType="begin"/>
        </w:r>
        <w:r>
          <w:rPr>
            <w:noProof/>
            <w:webHidden/>
          </w:rPr>
          <w:instrText xml:space="preserve"> PAGEREF _Toc222243976 \h </w:instrText>
        </w:r>
        <w:r>
          <w:rPr>
            <w:noProof/>
            <w:webHidden/>
          </w:rPr>
        </w:r>
        <w:r>
          <w:rPr>
            <w:noProof/>
            <w:webHidden/>
          </w:rPr>
          <w:fldChar w:fldCharType="separate"/>
        </w:r>
        <w:r>
          <w:rPr>
            <w:noProof/>
            <w:webHidden/>
          </w:rPr>
          <w:t>31</w:t>
        </w:r>
        <w:r>
          <w:rPr>
            <w:noProof/>
            <w:webHidden/>
          </w:rPr>
          <w:fldChar w:fldCharType="end"/>
        </w:r>
      </w:hyperlink>
    </w:p>
    <w:p w14:paraId="7B317DC7" w14:textId="34B7B832"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7" w:history="1">
        <w:r w:rsidRPr="0095614D">
          <w:rPr>
            <w:rStyle w:val="Lienhypertexte"/>
            <w:noProof/>
          </w:rPr>
          <w:t>Article 14.2-</w:t>
        </w:r>
        <w:r>
          <w:rPr>
            <w:rFonts w:eastAsiaTheme="minorEastAsia"/>
            <w:i w:val="0"/>
            <w:noProof/>
            <w:kern w:val="2"/>
            <w:sz w:val="24"/>
            <w:szCs w:val="24"/>
            <w:lang w:eastAsia="fr-FR"/>
            <w14:ligatures w14:val="standardContextual"/>
          </w:rPr>
          <w:tab/>
        </w:r>
        <w:r w:rsidRPr="0095614D">
          <w:rPr>
            <w:rStyle w:val="Lienhypertexte"/>
            <w:noProof/>
          </w:rPr>
          <w:t>Modalités des opérations de vérification</w:t>
        </w:r>
        <w:r>
          <w:rPr>
            <w:noProof/>
            <w:webHidden/>
          </w:rPr>
          <w:tab/>
        </w:r>
        <w:r>
          <w:rPr>
            <w:noProof/>
            <w:webHidden/>
          </w:rPr>
          <w:fldChar w:fldCharType="begin"/>
        </w:r>
        <w:r>
          <w:rPr>
            <w:noProof/>
            <w:webHidden/>
          </w:rPr>
          <w:instrText xml:space="preserve"> PAGEREF _Toc222243977 \h </w:instrText>
        </w:r>
        <w:r>
          <w:rPr>
            <w:noProof/>
            <w:webHidden/>
          </w:rPr>
        </w:r>
        <w:r>
          <w:rPr>
            <w:noProof/>
            <w:webHidden/>
          </w:rPr>
          <w:fldChar w:fldCharType="separate"/>
        </w:r>
        <w:r>
          <w:rPr>
            <w:noProof/>
            <w:webHidden/>
          </w:rPr>
          <w:t>31</w:t>
        </w:r>
        <w:r>
          <w:rPr>
            <w:noProof/>
            <w:webHidden/>
          </w:rPr>
          <w:fldChar w:fldCharType="end"/>
        </w:r>
      </w:hyperlink>
    </w:p>
    <w:p w14:paraId="34B32D7C" w14:textId="41F511F0"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8" w:history="1">
        <w:r w:rsidRPr="0095614D">
          <w:rPr>
            <w:rStyle w:val="Lienhypertexte"/>
            <w:noProof/>
          </w:rPr>
          <w:t>Article 14.3-</w:t>
        </w:r>
        <w:r>
          <w:rPr>
            <w:rFonts w:eastAsiaTheme="minorEastAsia"/>
            <w:i w:val="0"/>
            <w:noProof/>
            <w:kern w:val="2"/>
            <w:sz w:val="24"/>
            <w:szCs w:val="24"/>
            <w:lang w:eastAsia="fr-FR"/>
            <w14:ligatures w14:val="standardContextual"/>
          </w:rPr>
          <w:tab/>
        </w:r>
        <w:r w:rsidRPr="0095614D">
          <w:rPr>
            <w:rStyle w:val="Lienhypertexte"/>
            <w:noProof/>
          </w:rPr>
          <w:t>Vérifications quantitatives</w:t>
        </w:r>
        <w:r>
          <w:rPr>
            <w:noProof/>
            <w:webHidden/>
          </w:rPr>
          <w:tab/>
        </w:r>
        <w:r>
          <w:rPr>
            <w:noProof/>
            <w:webHidden/>
          </w:rPr>
          <w:fldChar w:fldCharType="begin"/>
        </w:r>
        <w:r>
          <w:rPr>
            <w:noProof/>
            <w:webHidden/>
          </w:rPr>
          <w:instrText xml:space="preserve"> PAGEREF _Toc222243978 \h </w:instrText>
        </w:r>
        <w:r>
          <w:rPr>
            <w:noProof/>
            <w:webHidden/>
          </w:rPr>
        </w:r>
        <w:r>
          <w:rPr>
            <w:noProof/>
            <w:webHidden/>
          </w:rPr>
          <w:fldChar w:fldCharType="separate"/>
        </w:r>
        <w:r>
          <w:rPr>
            <w:noProof/>
            <w:webHidden/>
          </w:rPr>
          <w:t>31</w:t>
        </w:r>
        <w:r>
          <w:rPr>
            <w:noProof/>
            <w:webHidden/>
          </w:rPr>
          <w:fldChar w:fldCharType="end"/>
        </w:r>
      </w:hyperlink>
    </w:p>
    <w:p w14:paraId="58E4C0FE" w14:textId="1F9671ED"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79" w:history="1">
        <w:r w:rsidRPr="0095614D">
          <w:rPr>
            <w:rStyle w:val="Lienhypertexte"/>
            <w:noProof/>
          </w:rPr>
          <w:t>Article 14.4-</w:t>
        </w:r>
        <w:r>
          <w:rPr>
            <w:rFonts w:eastAsiaTheme="minorEastAsia"/>
            <w:i w:val="0"/>
            <w:noProof/>
            <w:kern w:val="2"/>
            <w:sz w:val="24"/>
            <w:szCs w:val="24"/>
            <w:lang w:eastAsia="fr-FR"/>
            <w14:ligatures w14:val="standardContextual"/>
          </w:rPr>
          <w:tab/>
        </w:r>
        <w:r w:rsidRPr="0095614D">
          <w:rPr>
            <w:rStyle w:val="Lienhypertexte"/>
            <w:noProof/>
          </w:rPr>
          <w:t>Vérifications qualitatives</w:t>
        </w:r>
        <w:r>
          <w:rPr>
            <w:noProof/>
            <w:webHidden/>
          </w:rPr>
          <w:tab/>
        </w:r>
        <w:r>
          <w:rPr>
            <w:noProof/>
            <w:webHidden/>
          </w:rPr>
          <w:fldChar w:fldCharType="begin"/>
        </w:r>
        <w:r>
          <w:rPr>
            <w:noProof/>
            <w:webHidden/>
          </w:rPr>
          <w:instrText xml:space="preserve"> PAGEREF _Toc222243979 \h </w:instrText>
        </w:r>
        <w:r>
          <w:rPr>
            <w:noProof/>
            <w:webHidden/>
          </w:rPr>
        </w:r>
        <w:r>
          <w:rPr>
            <w:noProof/>
            <w:webHidden/>
          </w:rPr>
          <w:fldChar w:fldCharType="separate"/>
        </w:r>
        <w:r>
          <w:rPr>
            <w:noProof/>
            <w:webHidden/>
          </w:rPr>
          <w:t>31</w:t>
        </w:r>
        <w:r>
          <w:rPr>
            <w:noProof/>
            <w:webHidden/>
          </w:rPr>
          <w:fldChar w:fldCharType="end"/>
        </w:r>
      </w:hyperlink>
    </w:p>
    <w:p w14:paraId="5ACCAD09" w14:textId="5384743E"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80" w:history="1">
        <w:r w:rsidRPr="0095614D">
          <w:rPr>
            <w:rStyle w:val="Lienhypertexte"/>
            <w:noProof/>
          </w:rPr>
          <w:t>Article 14.5-</w:t>
        </w:r>
        <w:r>
          <w:rPr>
            <w:rFonts w:eastAsiaTheme="minorEastAsia"/>
            <w:i w:val="0"/>
            <w:noProof/>
            <w:kern w:val="2"/>
            <w:sz w:val="24"/>
            <w:szCs w:val="24"/>
            <w:lang w:eastAsia="fr-FR"/>
            <w14:ligatures w14:val="standardContextual"/>
          </w:rPr>
          <w:tab/>
        </w:r>
        <w:r w:rsidRPr="0095614D">
          <w:rPr>
            <w:rStyle w:val="Lienhypertexte"/>
            <w:noProof/>
          </w:rPr>
          <w:t>Décision après vérification</w:t>
        </w:r>
        <w:r>
          <w:rPr>
            <w:noProof/>
            <w:webHidden/>
          </w:rPr>
          <w:tab/>
        </w:r>
        <w:r>
          <w:rPr>
            <w:noProof/>
            <w:webHidden/>
          </w:rPr>
          <w:fldChar w:fldCharType="begin"/>
        </w:r>
        <w:r>
          <w:rPr>
            <w:noProof/>
            <w:webHidden/>
          </w:rPr>
          <w:instrText xml:space="preserve"> PAGEREF _Toc222243980 \h </w:instrText>
        </w:r>
        <w:r>
          <w:rPr>
            <w:noProof/>
            <w:webHidden/>
          </w:rPr>
        </w:r>
        <w:r>
          <w:rPr>
            <w:noProof/>
            <w:webHidden/>
          </w:rPr>
          <w:fldChar w:fldCharType="separate"/>
        </w:r>
        <w:r>
          <w:rPr>
            <w:noProof/>
            <w:webHidden/>
          </w:rPr>
          <w:t>31</w:t>
        </w:r>
        <w:r>
          <w:rPr>
            <w:noProof/>
            <w:webHidden/>
          </w:rPr>
          <w:fldChar w:fldCharType="end"/>
        </w:r>
      </w:hyperlink>
    </w:p>
    <w:p w14:paraId="79170729" w14:textId="26379167" w:rsidR="00903516" w:rsidRDefault="00903516">
      <w:pPr>
        <w:pStyle w:val="TM1"/>
        <w:rPr>
          <w:rFonts w:eastAsiaTheme="minorEastAsia"/>
          <w:b w:val="0"/>
          <w:noProof/>
          <w:kern w:val="2"/>
          <w:sz w:val="24"/>
          <w:szCs w:val="24"/>
          <w:lang w:eastAsia="fr-FR"/>
          <w14:ligatures w14:val="standardContextual"/>
        </w:rPr>
      </w:pPr>
      <w:hyperlink w:anchor="_Toc222243981" w:history="1">
        <w:r w:rsidRPr="0095614D">
          <w:rPr>
            <w:rStyle w:val="Lienhypertexte"/>
            <w:noProof/>
          </w:rPr>
          <w:t>ARTICLE 15-</w:t>
        </w:r>
        <w:r>
          <w:rPr>
            <w:rFonts w:eastAsiaTheme="minorEastAsia"/>
            <w:b w:val="0"/>
            <w:noProof/>
            <w:kern w:val="2"/>
            <w:sz w:val="24"/>
            <w:szCs w:val="24"/>
            <w:lang w:eastAsia="fr-FR"/>
            <w14:ligatures w14:val="standardContextual"/>
          </w:rPr>
          <w:tab/>
        </w:r>
        <w:r w:rsidRPr="0095614D">
          <w:rPr>
            <w:rStyle w:val="Lienhypertexte"/>
            <w:noProof/>
          </w:rPr>
          <w:t>Garantie</w:t>
        </w:r>
        <w:r>
          <w:rPr>
            <w:noProof/>
            <w:webHidden/>
          </w:rPr>
          <w:tab/>
        </w:r>
        <w:r>
          <w:rPr>
            <w:noProof/>
            <w:webHidden/>
          </w:rPr>
          <w:fldChar w:fldCharType="begin"/>
        </w:r>
        <w:r>
          <w:rPr>
            <w:noProof/>
            <w:webHidden/>
          </w:rPr>
          <w:instrText xml:space="preserve"> PAGEREF _Toc222243981 \h </w:instrText>
        </w:r>
        <w:r>
          <w:rPr>
            <w:noProof/>
            <w:webHidden/>
          </w:rPr>
        </w:r>
        <w:r>
          <w:rPr>
            <w:noProof/>
            <w:webHidden/>
          </w:rPr>
          <w:fldChar w:fldCharType="separate"/>
        </w:r>
        <w:r>
          <w:rPr>
            <w:noProof/>
            <w:webHidden/>
          </w:rPr>
          <w:t>31</w:t>
        </w:r>
        <w:r>
          <w:rPr>
            <w:noProof/>
            <w:webHidden/>
          </w:rPr>
          <w:fldChar w:fldCharType="end"/>
        </w:r>
      </w:hyperlink>
    </w:p>
    <w:p w14:paraId="037AA862" w14:textId="5DEC9321" w:rsidR="00903516" w:rsidRDefault="00903516">
      <w:pPr>
        <w:pStyle w:val="TM1"/>
        <w:rPr>
          <w:rFonts w:eastAsiaTheme="minorEastAsia"/>
          <w:b w:val="0"/>
          <w:noProof/>
          <w:kern w:val="2"/>
          <w:sz w:val="24"/>
          <w:szCs w:val="24"/>
          <w:lang w:eastAsia="fr-FR"/>
          <w14:ligatures w14:val="standardContextual"/>
        </w:rPr>
      </w:pPr>
      <w:hyperlink w:anchor="_Toc222243982" w:history="1">
        <w:r w:rsidRPr="0095614D">
          <w:rPr>
            <w:rStyle w:val="Lienhypertexte"/>
            <w:noProof/>
          </w:rPr>
          <w:t>ARTICLE 16-</w:t>
        </w:r>
        <w:r>
          <w:rPr>
            <w:rFonts w:eastAsiaTheme="minorEastAsia"/>
            <w:b w:val="0"/>
            <w:noProof/>
            <w:kern w:val="2"/>
            <w:sz w:val="24"/>
            <w:szCs w:val="24"/>
            <w:lang w:eastAsia="fr-FR"/>
            <w14:ligatures w14:val="standardContextual"/>
          </w:rPr>
          <w:tab/>
        </w:r>
        <w:r w:rsidRPr="0095614D">
          <w:rPr>
            <w:rStyle w:val="Lienhypertexte"/>
            <w:noProof/>
          </w:rPr>
          <w:t>Maintenance des prestations</w:t>
        </w:r>
        <w:r>
          <w:rPr>
            <w:noProof/>
            <w:webHidden/>
          </w:rPr>
          <w:tab/>
        </w:r>
        <w:r>
          <w:rPr>
            <w:noProof/>
            <w:webHidden/>
          </w:rPr>
          <w:fldChar w:fldCharType="begin"/>
        </w:r>
        <w:r>
          <w:rPr>
            <w:noProof/>
            <w:webHidden/>
          </w:rPr>
          <w:instrText xml:space="preserve"> PAGEREF _Toc222243982 \h </w:instrText>
        </w:r>
        <w:r>
          <w:rPr>
            <w:noProof/>
            <w:webHidden/>
          </w:rPr>
        </w:r>
        <w:r>
          <w:rPr>
            <w:noProof/>
            <w:webHidden/>
          </w:rPr>
          <w:fldChar w:fldCharType="separate"/>
        </w:r>
        <w:r>
          <w:rPr>
            <w:noProof/>
            <w:webHidden/>
          </w:rPr>
          <w:t>32</w:t>
        </w:r>
        <w:r>
          <w:rPr>
            <w:noProof/>
            <w:webHidden/>
          </w:rPr>
          <w:fldChar w:fldCharType="end"/>
        </w:r>
      </w:hyperlink>
    </w:p>
    <w:p w14:paraId="139A6E14" w14:textId="2C41DBB4" w:rsidR="00903516" w:rsidRDefault="00903516">
      <w:pPr>
        <w:pStyle w:val="TM1"/>
        <w:rPr>
          <w:rFonts w:eastAsiaTheme="minorEastAsia"/>
          <w:b w:val="0"/>
          <w:noProof/>
          <w:kern w:val="2"/>
          <w:sz w:val="24"/>
          <w:szCs w:val="24"/>
          <w:lang w:eastAsia="fr-FR"/>
          <w14:ligatures w14:val="standardContextual"/>
        </w:rPr>
      </w:pPr>
      <w:hyperlink w:anchor="_Toc222243983" w:history="1">
        <w:r w:rsidRPr="0095614D">
          <w:rPr>
            <w:rStyle w:val="Lienhypertexte"/>
            <w:noProof/>
          </w:rPr>
          <w:t>ARTICLE 17-</w:t>
        </w:r>
        <w:r>
          <w:rPr>
            <w:rFonts w:eastAsiaTheme="minorEastAsia"/>
            <w:b w:val="0"/>
            <w:noProof/>
            <w:kern w:val="2"/>
            <w:sz w:val="24"/>
            <w:szCs w:val="24"/>
            <w:lang w:eastAsia="fr-FR"/>
            <w14:ligatures w14:val="standardContextual"/>
          </w:rPr>
          <w:tab/>
        </w:r>
        <w:r w:rsidRPr="0095614D">
          <w:rPr>
            <w:rStyle w:val="Lienhypertexte"/>
            <w:noProof/>
          </w:rPr>
          <w:t>Réversibilité</w:t>
        </w:r>
        <w:r>
          <w:rPr>
            <w:noProof/>
            <w:webHidden/>
          </w:rPr>
          <w:tab/>
        </w:r>
        <w:r>
          <w:rPr>
            <w:noProof/>
            <w:webHidden/>
          </w:rPr>
          <w:fldChar w:fldCharType="begin"/>
        </w:r>
        <w:r>
          <w:rPr>
            <w:noProof/>
            <w:webHidden/>
          </w:rPr>
          <w:instrText xml:space="preserve"> PAGEREF _Toc222243983 \h </w:instrText>
        </w:r>
        <w:r>
          <w:rPr>
            <w:noProof/>
            <w:webHidden/>
          </w:rPr>
        </w:r>
        <w:r>
          <w:rPr>
            <w:noProof/>
            <w:webHidden/>
          </w:rPr>
          <w:fldChar w:fldCharType="separate"/>
        </w:r>
        <w:r>
          <w:rPr>
            <w:noProof/>
            <w:webHidden/>
          </w:rPr>
          <w:t>32</w:t>
        </w:r>
        <w:r>
          <w:rPr>
            <w:noProof/>
            <w:webHidden/>
          </w:rPr>
          <w:fldChar w:fldCharType="end"/>
        </w:r>
      </w:hyperlink>
    </w:p>
    <w:p w14:paraId="267DAAC4" w14:textId="210A73BC" w:rsidR="00903516" w:rsidRDefault="00903516">
      <w:pPr>
        <w:pStyle w:val="TM1"/>
        <w:rPr>
          <w:rFonts w:eastAsiaTheme="minorEastAsia"/>
          <w:b w:val="0"/>
          <w:noProof/>
          <w:kern w:val="2"/>
          <w:sz w:val="24"/>
          <w:szCs w:val="24"/>
          <w:lang w:eastAsia="fr-FR"/>
          <w14:ligatures w14:val="standardContextual"/>
        </w:rPr>
      </w:pPr>
      <w:hyperlink w:anchor="_Toc222243984" w:history="1">
        <w:r w:rsidRPr="0095614D">
          <w:rPr>
            <w:rStyle w:val="Lienhypertexte"/>
            <w:noProof/>
          </w:rPr>
          <w:t>ARTICLE 18-</w:t>
        </w:r>
        <w:r>
          <w:rPr>
            <w:rFonts w:eastAsiaTheme="minorEastAsia"/>
            <w:b w:val="0"/>
            <w:noProof/>
            <w:kern w:val="2"/>
            <w:sz w:val="24"/>
            <w:szCs w:val="24"/>
            <w:lang w:eastAsia="fr-FR"/>
            <w14:ligatures w14:val="standardContextual"/>
          </w:rPr>
          <w:tab/>
        </w:r>
        <w:r w:rsidRPr="0095614D">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_Toc222243984 \h </w:instrText>
        </w:r>
        <w:r>
          <w:rPr>
            <w:noProof/>
            <w:webHidden/>
          </w:rPr>
        </w:r>
        <w:r>
          <w:rPr>
            <w:noProof/>
            <w:webHidden/>
          </w:rPr>
          <w:fldChar w:fldCharType="separate"/>
        </w:r>
        <w:r>
          <w:rPr>
            <w:noProof/>
            <w:webHidden/>
          </w:rPr>
          <w:t>32</w:t>
        </w:r>
        <w:r>
          <w:rPr>
            <w:noProof/>
            <w:webHidden/>
          </w:rPr>
          <w:fldChar w:fldCharType="end"/>
        </w:r>
      </w:hyperlink>
    </w:p>
    <w:p w14:paraId="3E0CEF34" w14:textId="016C3242"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85" w:history="1">
        <w:r w:rsidRPr="0095614D">
          <w:rPr>
            <w:rStyle w:val="Lienhypertexte"/>
            <w:noProof/>
          </w:rPr>
          <w:t>Article 18.1-</w:t>
        </w:r>
        <w:r>
          <w:rPr>
            <w:rFonts w:eastAsiaTheme="minorEastAsia"/>
            <w:i w:val="0"/>
            <w:noProof/>
            <w:kern w:val="2"/>
            <w:sz w:val="24"/>
            <w:szCs w:val="24"/>
            <w:lang w:eastAsia="fr-FR"/>
            <w14:ligatures w14:val="standardContextual"/>
          </w:rPr>
          <w:tab/>
        </w:r>
        <w:r w:rsidRPr="0095614D">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_Toc222243985 \h </w:instrText>
        </w:r>
        <w:r>
          <w:rPr>
            <w:noProof/>
            <w:webHidden/>
          </w:rPr>
        </w:r>
        <w:r>
          <w:rPr>
            <w:noProof/>
            <w:webHidden/>
          </w:rPr>
          <w:fldChar w:fldCharType="separate"/>
        </w:r>
        <w:r>
          <w:rPr>
            <w:noProof/>
            <w:webHidden/>
          </w:rPr>
          <w:t>32</w:t>
        </w:r>
        <w:r>
          <w:rPr>
            <w:noProof/>
            <w:webHidden/>
          </w:rPr>
          <w:fldChar w:fldCharType="end"/>
        </w:r>
      </w:hyperlink>
    </w:p>
    <w:p w14:paraId="11417B1B" w14:textId="19389537"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86" w:history="1">
        <w:r w:rsidRPr="0095614D">
          <w:rPr>
            <w:rStyle w:val="Lienhypertexte"/>
            <w:noProof/>
          </w:rPr>
          <w:t>Article 18.2-</w:t>
        </w:r>
        <w:r>
          <w:rPr>
            <w:rFonts w:eastAsiaTheme="minorEastAsia"/>
            <w:i w:val="0"/>
            <w:noProof/>
            <w:kern w:val="2"/>
            <w:sz w:val="24"/>
            <w:szCs w:val="24"/>
            <w:lang w:eastAsia="fr-FR"/>
            <w14:ligatures w14:val="standardContextual"/>
          </w:rPr>
          <w:tab/>
        </w:r>
        <w:r w:rsidRPr="0095614D">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_Toc222243986 \h </w:instrText>
        </w:r>
        <w:r>
          <w:rPr>
            <w:noProof/>
            <w:webHidden/>
          </w:rPr>
        </w:r>
        <w:r>
          <w:rPr>
            <w:noProof/>
            <w:webHidden/>
          </w:rPr>
          <w:fldChar w:fldCharType="separate"/>
        </w:r>
        <w:r>
          <w:rPr>
            <w:noProof/>
            <w:webHidden/>
          </w:rPr>
          <w:t>33</w:t>
        </w:r>
        <w:r>
          <w:rPr>
            <w:noProof/>
            <w:webHidden/>
          </w:rPr>
          <w:fldChar w:fldCharType="end"/>
        </w:r>
      </w:hyperlink>
    </w:p>
    <w:p w14:paraId="181C6CCA" w14:textId="4B96381F" w:rsidR="00903516" w:rsidRDefault="00903516">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243987" w:history="1">
        <w:r w:rsidRPr="0095614D">
          <w:rPr>
            <w:rStyle w:val="Lienhypertexte"/>
            <w:noProof/>
          </w:rPr>
          <w:t>Article 18.3-</w:t>
        </w:r>
        <w:r>
          <w:rPr>
            <w:rFonts w:eastAsiaTheme="minorEastAsia"/>
            <w:i w:val="0"/>
            <w:noProof/>
            <w:kern w:val="2"/>
            <w:sz w:val="24"/>
            <w:szCs w:val="24"/>
            <w:lang w:eastAsia="fr-FR"/>
            <w14:ligatures w14:val="standardContextual"/>
          </w:rPr>
          <w:tab/>
        </w:r>
        <w:r w:rsidRPr="0095614D">
          <w:rPr>
            <w:rStyle w:val="Lienhypertexte"/>
            <w:noProof/>
          </w:rPr>
          <w:t>Adaptation – suspension de l’accord-cadre</w:t>
        </w:r>
        <w:r>
          <w:rPr>
            <w:noProof/>
            <w:webHidden/>
          </w:rPr>
          <w:tab/>
        </w:r>
        <w:r>
          <w:rPr>
            <w:noProof/>
            <w:webHidden/>
          </w:rPr>
          <w:fldChar w:fldCharType="begin"/>
        </w:r>
        <w:r>
          <w:rPr>
            <w:noProof/>
            <w:webHidden/>
          </w:rPr>
          <w:instrText xml:space="preserve"> PAGEREF _Toc222243987 \h </w:instrText>
        </w:r>
        <w:r>
          <w:rPr>
            <w:noProof/>
            <w:webHidden/>
          </w:rPr>
        </w:r>
        <w:r>
          <w:rPr>
            <w:noProof/>
            <w:webHidden/>
          </w:rPr>
          <w:fldChar w:fldCharType="separate"/>
        </w:r>
        <w:r>
          <w:rPr>
            <w:noProof/>
            <w:webHidden/>
          </w:rPr>
          <w:t>33</w:t>
        </w:r>
        <w:r>
          <w:rPr>
            <w:noProof/>
            <w:webHidden/>
          </w:rPr>
          <w:fldChar w:fldCharType="end"/>
        </w:r>
      </w:hyperlink>
    </w:p>
    <w:p w14:paraId="15863AC8" w14:textId="103571BE" w:rsidR="00903516" w:rsidRDefault="00903516">
      <w:pPr>
        <w:pStyle w:val="TM1"/>
        <w:rPr>
          <w:rFonts w:eastAsiaTheme="minorEastAsia"/>
          <w:b w:val="0"/>
          <w:noProof/>
          <w:kern w:val="2"/>
          <w:sz w:val="24"/>
          <w:szCs w:val="24"/>
          <w:lang w:eastAsia="fr-FR"/>
          <w14:ligatures w14:val="standardContextual"/>
        </w:rPr>
      </w:pPr>
      <w:hyperlink w:anchor="_Toc222243988" w:history="1">
        <w:r w:rsidRPr="0095614D">
          <w:rPr>
            <w:rStyle w:val="Lienhypertexte"/>
            <w:noProof/>
          </w:rPr>
          <w:t>ARTICLE 19-</w:t>
        </w:r>
        <w:r>
          <w:rPr>
            <w:rFonts w:eastAsiaTheme="minorEastAsia"/>
            <w:b w:val="0"/>
            <w:noProof/>
            <w:kern w:val="2"/>
            <w:sz w:val="24"/>
            <w:szCs w:val="24"/>
            <w:lang w:eastAsia="fr-FR"/>
            <w14:ligatures w14:val="standardContextual"/>
          </w:rPr>
          <w:tab/>
        </w:r>
        <w:r w:rsidRPr="0095614D">
          <w:rPr>
            <w:rStyle w:val="Lienhypertexte"/>
            <w:noProof/>
          </w:rPr>
          <w:t>Obligation de respect de la loi « RPR »</w:t>
        </w:r>
        <w:r>
          <w:rPr>
            <w:noProof/>
            <w:webHidden/>
          </w:rPr>
          <w:tab/>
        </w:r>
        <w:r>
          <w:rPr>
            <w:noProof/>
            <w:webHidden/>
          </w:rPr>
          <w:fldChar w:fldCharType="begin"/>
        </w:r>
        <w:r>
          <w:rPr>
            <w:noProof/>
            <w:webHidden/>
          </w:rPr>
          <w:instrText xml:space="preserve"> PAGEREF _Toc222243988 \h </w:instrText>
        </w:r>
        <w:r>
          <w:rPr>
            <w:noProof/>
            <w:webHidden/>
          </w:rPr>
        </w:r>
        <w:r>
          <w:rPr>
            <w:noProof/>
            <w:webHidden/>
          </w:rPr>
          <w:fldChar w:fldCharType="separate"/>
        </w:r>
        <w:r>
          <w:rPr>
            <w:noProof/>
            <w:webHidden/>
          </w:rPr>
          <w:t>33</w:t>
        </w:r>
        <w:r>
          <w:rPr>
            <w:noProof/>
            <w:webHidden/>
          </w:rPr>
          <w:fldChar w:fldCharType="end"/>
        </w:r>
      </w:hyperlink>
    </w:p>
    <w:p w14:paraId="5989C360" w14:textId="1322339F" w:rsidR="00903516" w:rsidRDefault="00903516">
      <w:pPr>
        <w:pStyle w:val="TM1"/>
        <w:rPr>
          <w:rFonts w:eastAsiaTheme="minorEastAsia"/>
          <w:b w:val="0"/>
          <w:noProof/>
          <w:kern w:val="2"/>
          <w:sz w:val="24"/>
          <w:szCs w:val="24"/>
          <w:lang w:eastAsia="fr-FR"/>
          <w14:ligatures w14:val="standardContextual"/>
        </w:rPr>
      </w:pPr>
      <w:hyperlink w:anchor="_Toc222243989" w:history="1">
        <w:r w:rsidRPr="0095614D">
          <w:rPr>
            <w:rStyle w:val="Lienhypertexte"/>
            <w:noProof/>
          </w:rPr>
          <w:t>ARTICLE 20-</w:t>
        </w:r>
        <w:r>
          <w:rPr>
            <w:rFonts w:eastAsiaTheme="minorEastAsia"/>
            <w:b w:val="0"/>
            <w:noProof/>
            <w:kern w:val="2"/>
            <w:sz w:val="24"/>
            <w:szCs w:val="24"/>
            <w:lang w:eastAsia="fr-FR"/>
            <w14:ligatures w14:val="standardContextual"/>
          </w:rPr>
          <w:tab/>
        </w:r>
        <w:r w:rsidRPr="0095614D">
          <w:rPr>
            <w:rStyle w:val="Lienhypertexte"/>
            <w:noProof/>
          </w:rPr>
          <w:t>Assurances</w:t>
        </w:r>
        <w:r>
          <w:rPr>
            <w:noProof/>
            <w:webHidden/>
          </w:rPr>
          <w:tab/>
        </w:r>
        <w:r>
          <w:rPr>
            <w:noProof/>
            <w:webHidden/>
          </w:rPr>
          <w:fldChar w:fldCharType="begin"/>
        </w:r>
        <w:r>
          <w:rPr>
            <w:noProof/>
            <w:webHidden/>
          </w:rPr>
          <w:instrText xml:space="preserve"> PAGEREF _Toc222243989 \h </w:instrText>
        </w:r>
        <w:r>
          <w:rPr>
            <w:noProof/>
            <w:webHidden/>
          </w:rPr>
        </w:r>
        <w:r>
          <w:rPr>
            <w:noProof/>
            <w:webHidden/>
          </w:rPr>
          <w:fldChar w:fldCharType="separate"/>
        </w:r>
        <w:r>
          <w:rPr>
            <w:noProof/>
            <w:webHidden/>
          </w:rPr>
          <w:t>34</w:t>
        </w:r>
        <w:r>
          <w:rPr>
            <w:noProof/>
            <w:webHidden/>
          </w:rPr>
          <w:fldChar w:fldCharType="end"/>
        </w:r>
      </w:hyperlink>
    </w:p>
    <w:p w14:paraId="151926F9" w14:textId="39F0DD46" w:rsidR="00903516" w:rsidRDefault="00903516">
      <w:pPr>
        <w:pStyle w:val="TM1"/>
        <w:rPr>
          <w:rFonts w:eastAsiaTheme="minorEastAsia"/>
          <w:b w:val="0"/>
          <w:noProof/>
          <w:kern w:val="2"/>
          <w:sz w:val="24"/>
          <w:szCs w:val="24"/>
          <w:lang w:eastAsia="fr-FR"/>
          <w14:ligatures w14:val="standardContextual"/>
        </w:rPr>
      </w:pPr>
      <w:hyperlink w:anchor="_Toc222243990" w:history="1">
        <w:r w:rsidRPr="0095614D">
          <w:rPr>
            <w:rStyle w:val="Lienhypertexte"/>
            <w:noProof/>
          </w:rPr>
          <w:t>ARTICLE 21-</w:t>
        </w:r>
        <w:r>
          <w:rPr>
            <w:rFonts w:eastAsiaTheme="minorEastAsia"/>
            <w:b w:val="0"/>
            <w:noProof/>
            <w:kern w:val="2"/>
            <w:sz w:val="24"/>
            <w:szCs w:val="24"/>
            <w:lang w:eastAsia="fr-FR"/>
            <w14:ligatures w14:val="standardContextual"/>
          </w:rPr>
          <w:tab/>
        </w:r>
        <w:r w:rsidRPr="0095614D">
          <w:rPr>
            <w:rStyle w:val="Lienhypertexte"/>
            <w:noProof/>
          </w:rPr>
          <w:t>Obligation du Titulaire tous les 6 mois</w:t>
        </w:r>
        <w:r>
          <w:rPr>
            <w:noProof/>
            <w:webHidden/>
          </w:rPr>
          <w:tab/>
        </w:r>
        <w:r>
          <w:rPr>
            <w:noProof/>
            <w:webHidden/>
          </w:rPr>
          <w:fldChar w:fldCharType="begin"/>
        </w:r>
        <w:r>
          <w:rPr>
            <w:noProof/>
            <w:webHidden/>
          </w:rPr>
          <w:instrText xml:space="preserve"> PAGEREF _Toc222243990 \h </w:instrText>
        </w:r>
        <w:r>
          <w:rPr>
            <w:noProof/>
            <w:webHidden/>
          </w:rPr>
        </w:r>
        <w:r>
          <w:rPr>
            <w:noProof/>
            <w:webHidden/>
          </w:rPr>
          <w:fldChar w:fldCharType="separate"/>
        </w:r>
        <w:r>
          <w:rPr>
            <w:noProof/>
            <w:webHidden/>
          </w:rPr>
          <w:t>34</w:t>
        </w:r>
        <w:r>
          <w:rPr>
            <w:noProof/>
            <w:webHidden/>
          </w:rPr>
          <w:fldChar w:fldCharType="end"/>
        </w:r>
      </w:hyperlink>
    </w:p>
    <w:p w14:paraId="00F8E3EB" w14:textId="1F93F3CA" w:rsidR="00903516" w:rsidRDefault="00903516">
      <w:pPr>
        <w:pStyle w:val="TM1"/>
        <w:rPr>
          <w:rFonts w:eastAsiaTheme="minorEastAsia"/>
          <w:b w:val="0"/>
          <w:noProof/>
          <w:kern w:val="2"/>
          <w:sz w:val="24"/>
          <w:szCs w:val="24"/>
          <w:lang w:eastAsia="fr-FR"/>
          <w14:ligatures w14:val="standardContextual"/>
        </w:rPr>
      </w:pPr>
      <w:hyperlink w:anchor="_Toc222243991" w:history="1">
        <w:r w:rsidRPr="0095614D">
          <w:rPr>
            <w:rStyle w:val="Lienhypertexte"/>
            <w:noProof/>
          </w:rPr>
          <w:t>ARTICLE 22-</w:t>
        </w:r>
        <w:r>
          <w:rPr>
            <w:rFonts w:eastAsiaTheme="minorEastAsia"/>
            <w:b w:val="0"/>
            <w:noProof/>
            <w:kern w:val="2"/>
            <w:sz w:val="24"/>
            <w:szCs w:val="24"/>
            <w:lang w:eastAsia="fr-FR"/>
            <w14:ligatures w14:val="standardContextual"/>
          </w:rPr>
          <w:tab/>
        </w:r>
        <w:r w:rsidRPr="0095614D">
          <w:rPr>
            <w:rStyle w:val="Lienhypertexte"/>
            <w:noProof/>
          </w:rPr>
          <w:t>Litiges et différends – Droit applicable</w:t>
        </w:r>
        <w:r>
          <w:rPr>
            <w:noProof/>
            <w:webHidden/>
          </w:rPr>
          <w:tab/>
        </w:r>
        <w:r>
          <w:rPr>
            <w:noProof/>
            <w:webHidden/>
          </w:rPr>
          <w:fldChar w:fldCharType="begin"/>
        </w:r>
        <w:r>
          <w:rPr>
            <w:noProof/>
            <w:webHidden/>
          </w:rPr>
          <w:instrText xml:space="preserve"> PAGEREF _Toc222243991 \h </w:instrText>
        </w:r>
        <w:r>
          <w:rPr>
            <w:noProof/>
            <w:webHidden/>
          </w:rPr>
        </w:r>
        <w:r>
          <w:rPr>
            <w:noProof/>
            <w:webHidden/>
          </w:rPr>
          <w:fldChar w:fldCharType="separate"/>
        </w:r>
        <w:r>
          <w:rPr>
            <w:noProof/>
            <w:webHidden/>
          </w:rPr>
          <w:t>34</w:t>
        </w:r>
        <w:r>
          <w:rPr>
            <w:noProof/>
            <w:webHidden/>
          </w:rPr>
          <w:fldChar w:fldCharType="end"/>
        </w:r>
      </w:hyperlink>
    </w:p>
    <w:p w14:paraId="674C7075" w14:textId="308905CC" w:rsidR="00903516" w:rsidRDefault="00903516">
      <w:pPr>
        <w:pStyle w:val="TM1"/>
        <w:rPr>
          <w:rFonts w:eastAsiaTheme="minorEastAsia"/>
          <w:b w:val="0"/>
          <w:noProof/>
          <w:kern w:val="2"/>
          <w:sz w:val="24"/>
          <w:szCs w:val="24"/>
          <w:lang w:eastAsia="fr-FR"/>
          <w14:ligatures w14:val="standardContextual"/>
        </w:rPr>
      </w:pPr>
      <w:hyperlink w:anchor="_Toc222243992" w:history="1">
        <w:r w:rsidRPr="0095614D">
          <w:rPr>
            <w:rStyle w:val="Lienhypertexte"/>
            <w:noProof/>
          </w:rPr>
          <w:t>ARTICLE 23-</w:t>
        </w:r>
        <w:r>
          <w:rPr>
            <w:rFonts w:eastAsiaTheme="minorEastAsia"/>
            <w:b w:val="0"/>
            <w:noProof/>
            <w:kern w:val="2"/>
            <w:sz w:val="24"/>
            <w:szCs w:val="24"/>
            <w:lang w:eastAsia="fr-FR"/>
            <w14:ligatures w14:val="standardContextual"/>
          </w:rPr>
          <w:tab/>
        </w:r>
        <w:r w:rsidRPr="0095614D">
          <w:rPr>
            <w:rStyle w:val="Lienhypertexte"/>
            <w:noProof/>
          </w:rPr>
          <w:t>Dérogation aux documents généraux</w:t>
        </w:r>
        <w:r>
          <w:rPr>
            <w:noProof/>
            <w:webHidden/>
          </w:rPr>
          <w:tab/>
        </w:r>
        <w:r>
          <w:rPr>
            <w:noProof/>
            <w:webHidden/>
          </w:rPr>
          <w:fldChar w:fldCharType="begin"/>
        </w:r>
        <w:r>
          <w:rPr>
            <w:noProof/>
            <w:webHidden/>
          </w:rPr>
          <w:instrText xml:space="preserve"> PAGEREF _Toc222243992 \h </w:instrText>
        </w:r>
        <w:r>
          <w:rPr>
            <w:noProof/>
            <w:webHidden/>
          </w:rPr>
        </w:r>
        <w:r>
          <w:rPr>
            <w:noProof/>
            <w:webHidden/>
          </w:rPr>
          <w:fldChar w:fldCharType="separate"/>
        </w:r>
        <w:r>
          <w:rPr>
            <w:noProof/>
            <w:webHidden/>
          </w:rPr>
          <w:t>35</w:t>
        </w:r>
        <w:r>
          <w:rPr>
            <w:noProof/>
            <w:webHidden/>
          </w:rPr>
          <w:fldChar w:fldCharType="end"/>
        </w:r>
      </w:hyperlink>
    </w:p>
    <w:p w14:paraId="7A831A49" w14:textId="69C057BA" w:rsidR="00903516" w:rsidRDefault="00903516">
      <w:pPr>
        <w:pStyle w:val="TM1"/>
        <w:rPr>
          <w:rFonts w:eastAsiaTheme="minorEastAsia"/>
          <w:b w:val="0"/>
          <w:noProof/>
          <w:kern w:val="2"/>
          <w:sz w:val="24"/>
          <w:szCs w:val="24"/>
          <w:lang w:eastAsia="fr-FR"/>
          <w14:ligatures w14:val="standardContextual"/>
        </w:rPr>
      </w:pPr>
      <w:hyperlink w:anchor="_Toc222243993" w:history="1">
        <w:r w:rsidRPr="0095614D">
          <w:rPr>
            <w:rStyle w:val="Lienhypertexte"/>
            <w:noProof/>
          </w:rPr>
          <w:t>ARTICLE 24-</w:t>
        </w:r>
        <w:r>
          <w:rPr>
            <w:rFonts w:eastAsiaTheme="minorEastAsia"/>
            <w:b w:val="0"/>
            <w:noProof/>
            <w:kern w:val="2"/>
            <w:sz w:val="24"/>
            <w:szCs w:val="24"/>
            <w:lang w:eastAsia="fr-FR"/>
            <w14:ligatures w14:val="standardContextual"/>
          </w:rPr>
          <w:tab/>
        </w:r>
        <w:r w:rsidRPr="0095614D">
          <w:rPr>
            <w:rStyle w:val="Lienhypertexte"/>
            <w:noProof/>
          </w:rPr>
          <w:t>Approbation de l’accord-cadre</w:t>
        </w:r>
        <w:r>
          <w:rPr>
            <w:noProof/>
            <w:webHidden/>
          </w:rPr>
          <w:tab/>
        </w:r>
        <w:r>
          <w:rPr>
            <w:noProof/>
            <w:webHidden/>
          </w:rPr>
          <w:fldChar w:fldCharType="begin"/>
        </w:r>
        <w:r>
          <w:rPr>
            <w:noProof/>
            <w:webHidden/>
          </w:rPr>
          <w:instrText xml:space="preserve"> PAGEREF _Toc222243993 \h </w:instrText>
        </w:r>
        <w:r>
          <w:rPr>
            <w:noProof/>
            <w:webHidden/>
          </w:rPr>
        </w:r>
        <w:r>
          <w:rPr>
            <w:noProof/>
            <w:webHidden/>
          </w:rPr>
          <w:fldChar w:fldCharType="separate"/>
        </w:r>
        <w:r>
          <w:rPr>
            <w:noProof/>
            <w:webHidden/>
          </w:rPr>
          <w:t>37</w:t>
        </w:r>
        <w:r>
          <w:rPr>
            <w:noProof/>
            <w:webHidden/>
          </w:rPr>
          <w:fldChar w:fldCharType="end"/>
        </w:r>
      </w:hyperlink>
    </w:p>
    <w:p w14:paraId="66030782" w14:textId="12944966"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6" w:name="_Toc512268830"/>
      <w:bookmarkStart w:id="7" w:name="_Toc222243914"/>
      <w:r w:rsidRPr="00853CD6">
        <w:rPr>
          <w:color w:val="FFFFFF" w:themeColor="background1"/>
          <w:sz w:val="28"/>
          <w:szCs w:val="28"/>
        </w:rPr>
        <w:lastRenderedPageBreak/>
        <w:t>CONTRACTANT (LE TITULAIRE EST UNE PERSONNE PHYSIQUE)</w:t>
      </w:r>
      <w:bookmarkEnd w:id="6"/>
      <w:bookmarkEnd w:id="7"/>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6A1D1557" w14:textId="07A3F857" w:rsidR="000876F3" w:rsidRPr="00644048" w:rsidRDefault="000876F3" w:rsidP="000876F3">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8" w:name="_Toc248736071"/>
      <w:bookmarkStart w:id="9" w:name="_Toc512268831"/>
      <w:bookmarkStart w:id="10" w:name="_Toc222243915"/>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8"/>
      <w:bookmarkEnd w:id="9"/>
      <w:bookmarkEnd w:id="10"/>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434A20D" w14:textId="387AD72E" w:rsidR="000876F3" w:rsidRPr="00644048" w:rsidRDefault="000876F3" w:rsidP="000876F3">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11" w:name="_Toc236631552"/>
      <w:bookmarkStart w:id="12" w:name="_Toc248474490"/>
      <w:bookmarkStart w:id="13" w:name="_Toc248736072"/>
      <w:bookmarkStart w:id="14"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5" w:name="_Toc222243916"/>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11"/>
      <w:bookmarkEnd w:id="12"/>
      <w:bookmarkEnd w:id="13"/>
      <w:bookmarkEnd w:id="14"/>
      <w:bookmarkEnd w:id="15"/>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903516"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903516"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903516"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lastRenderedPageBreak/>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03FA7C5B" w14:textId="5FB392B0" w:rsidR="000876F3" w:rsidRDefault="000876F3">
      <w:pPr>
        <w:pStyle w:val="05ARTICLENiv1-TableauPuce1"/>
        <w:rPr>
          <w:rFonts w:asciiTheme="minorHAnsi" w:hAnsiTheme="minorHAnsi" w:cstheme="minorHAnsi"/>
        </w:rPr>
      </w:pPr>
      <w:r>
        <w:rPr>
          <w:rFonts w:asciiTheme="minorHAnsi" w:hAnsiTheme="minorHAnsi" w:cstheme="minorHAnsi"/>
        </w:rPr>
        <w:t>No</w:t>
      </w:r>
      <w:r w:rsidRPr="004A2C7E">
        <w:rPr>
          <w:rFonts w:asciiTheme="minorHAnsi" w:hAnsiTheme="minorHAnsi" w:cstheme="minorHAnsi"/>
        </w:rPr>
        <w:t>us ENGAGEONS sans réserve, en tant qu'entrepreneurs groupés, conformément aux stipulations des documents visés ci-dessus, à exécuter les prestations dans les conditions ci-après définies</w:t>
      </w:r>
      <w:r w:rsidR="00DD2E49">
        <w:rPr>
          <w:rFonts w:asciiTheme="minorHAnsi" w:hAnsiTheme="minorHAnsi" w:cstheme="minorHAnsi"/>
        </w:rPr>
        <w:t>.</w:t>
      </w:r>
    </w:p>
    <w:p w14:paraId="7B171D78" w14:textId="77777777" w:rsidR="000876F3" w:rsidRDefault="000876F3" w:rsidP="000876F3">
      <w:pPr>
        <w:pStyle w:val="05ARTICLENiv1-TableauPuce1"/>
        <w:numPr>
          <w:ilvl w:val="0"/>
          <w:numId w:val="0"/>
        </w:numPr>
        <w:ind w:left="227"/>
        <w:rPr>
          <w:rFonts w:asciiTheme="minorHAnsi" w:hAnsiTheme="minorHAnsi" w:cstheme="minorHAnsi"/>
        </w:rPr>
      </w:pPr>
    </w:p>
    <w:p w14:paraId="666A14FD" w14:textId="4475ED22" w:rsidR="00853CD6" w:rsidRPr="000876F3" w:rsidRDefault="00853CD6" w:rsidP="000876F3">
      <w:pPr>
        <w:pStyle w:val="05ARTICLENiv1-TableauPuce1"/>
        <w:numPr>
          <w:ilvl w:val="0"/>
          <w:numId w:val="0"/>
        </w:numPr>
        <w:ind w:left="227"/>
        <w:rPr>
          <w:rFonts w:asciiTheme="minorHAnsi" w:hAnsiTheme="minorHAnsi" w:cstheme="minorHAnsi"/>
        </w:rPr>
      </w:pPr>
      <w:r w:rsidRPr="000876F3">
        <w:rPr>
          <w:rFonts w:asciiTheme="minorHAnsi" w:hAnsiTheme="minorHAnsi" w:cstheme="minorHAnsi"/>
        </w:rPr>
        <w:t xml:space="preserve">L'offre ainsi présentée ne me lie toutefois que si l'attribution de l’accord-cadre a lieu dans un délai de cent quatre-vingts jours à compter de 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6" w:name="_Toc222243917"/>
      <w:r w:rsidRPr="002336AB">
        <w:rPr>
          <w:color w:val="FFFFFF" w:themeColor="background1"/>
        </w:rPr>
        <w:lastRenderedPageBreak/>
        <w:t>Objet de la consultation – Dispositions générales</w:t>
      </w:r>
      <w:bookmarkEnd w:id="16"/>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17" w:name="_Toc222243918"/>
      <w:r w:rsidRPr="00A96A79">
        <w:rPr>
          <w:bCs w:val="0"/>
          <w:color w:val="683766"/>
          <w:sz w:val="22"/>
          <w:szCs w:val="22"/>
        </w:rPr>
        <w:t>Objet d</w:t>
      </w:r>
      <w:r w:rsidR="00667EA8" w:rsidRPr="00A96A79">
        <w:rPr>
          <w:bCs w:val="0"/>
          <w:color w:val="683766"/>
          <w:sz w:val="22"/>
          <w:szCs w:val="22"/>
        </w:rPr>
        <w:t>e l’accord-cadre</w:t>
      </w:r>
      <w:bookmarkEnd w:id="17"/>
    </w:p>
    <w:p w14:paraId="33F3B141" w14:textId="4623DBB3" w:rsidR="00E80AC5" w:rsidRDefault="00667EA8" w:rsidP="001837E2">
      <w:pPr>
        <w:spacing w:before="120" w:after="120"/>
        <w:jc w:val="both"/>
        <w:rPr>
          <w:sz w:val="20"/>
          <w:szCs w:val="20"/>
        </w:rPr>
      </w:pPr>
      <w:bookmarkStart w:id="18" w:name="_Hlk184224028"/>
      <w:bookmarkStart w:id="19" w:name="_Hlk76049238"/>
      <w:bookmarkStart w:id="20"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C749C5">
        <w:rPr>
          <w:sz w:val="20"/>
          <w:szCs w:val="20"/>
        </w:rPr>
        <w:t>l</w:t>
      </w:r>
      <w:r w:rsidR="46CAE98B" w:rsidRPr="46CAE98B">
        <w:rPr>
          <w:sz w:val="20"/>
          <w:szCs w:val="20"/>
        </w:rPr>
        <w:t xml:space="preserve">a réalisation de </w:t>
      </w:r>
      <w:r w:rsidR="00C749C5">
        <w:rPr>
          <w:sz w:val="20"/>
          <w:szCs w:val="20"/>
        </w:rPr>
        <w:t xml:space="preserve">prestations </w:t>
      </w:r>
      <w:r w:rsidR="46CAE98B" w:rsidRPr="46CAE98B">
        <w:rPr>
          <w:sz w:val="20"/>
          <w:szCs w:val="20"/>
        </w:rPr>
        <w:t>autour des applicatifs du système d’information du CNM.</w:t>
      </w:r>
    </w:p>
    <w:bookmarkEnd w:id="18"/>
    <w:p w14:paraId="160D6342" w14:textId="7869A17C"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 xml:space="preserve">commun </w:t>
      </w:r>
      <w:r w:rsidR="00AA192D">
        <w:rPr>
          <w:sz w:val="20"/>
          <w:szCs w:val="20"/>
        </w:rPr>
        <w:t>à tous les</w:t>
      </w:r>
      <w:r w:rsidR="00A42B1A">
        <w:rPr>
          <w:sz w:val="20"/>
          <w:szCs w:val="20"/>
        </w:rPr>
        <w:t xml:space="preserve"> lots</w:t>
      </w:r>
      <w:r w:rsidR="00667EA8" w:rsidRPr="00806B57">
        <w:rPr>
          <w:sz w:val="20"/>
          <w:szCs w:val="20"/>
        </w:rPr>
        <w:t>.</w:t>
      </w:r>
    </w:p>
    <w:bookmarkEnd w:id="19"/>
    <w:bookmarkEnd w:id="20"/>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1" w:name="_Toc222243919"/>
      <w:r w:rsidRPr="00A96A79">
        <w:rPr>
          <w:bCs w:val="0"/>
          <w:color w:val="683766"/>
          <w:sz w:val="22"/>
          <w:szCs w:val="22"/>
        </w:rPr>
        <w:t>Décomposition de l’accord-cadre</w:t>
      </w:r>
      <w:bookmarkEnd w:id="21"/>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3B7FEC2E" w:rsidR="001837E2" w:rsidRDefault="001837E2" w:rsidP="001837E2">
      <w:pPr>
        <w:tabs>
          <w:tab w:val="left" w:pos="1134"/>
          <w:tab w:val="left" w:pos="1418"/>
        </w:tabs>
        <w:spacing w:before="120"/>
        <w:jc w:val="both"/>
        <w:rPr>
          <w:sz w:val="20"/>
          <w:szCs w:val="20"/>
        </w:rPr>
      </w:pPr>
      <w:bookmarkStart w:id="22" w:name="_Hlk184224048"/>
      <w:r>
        <w:rPr>
          <w:sz w:val="20"/>
          <w:szCs w:val="20"/>
        </w:rPr>
        <w:t xml:space="preserve">La présente consultation est décomposée en </w:t>
      </w:r>
      <w:r w:rsidR="00C749C5">
        <w:rPr>
          <w:sz w:val="20"/>
          <w:szCs w:val="20"/>
        </w:rPr>
        <w:t>huit</w:t>
      </w:r>
      <w:r>
        <w:rPr>
          <w:sz w:val="20"/>
          <w:szCs w:val="20"/>
        </w:rPr>
        <w:t xml:space="preserve"> lots : </w:t>
      </w:r>
    </w:p>
    <w:tbl>
      <w:tblPr>
        <w:tblStyle w:val="Grilledutableau"/>
        <w:tblW w:w="10201" w:type="dxa"/>
        <w:jc w:val="center"/>
        <w:tblLook w:val="04A0" w:firstRow="1" w:lastRow="0" w:firstColumn="1" w:lastColumn="0" w:noHBand="0" w:noVBand="1"/>
      </w:tblPr>
      <w:tblGrid>
        <w:gridCol w:w="1129"/>
        <w:gridCol w:w="9072"/>
      </w:tblGrid>
      <w:tr w:rsidR="00233A89" w:rsidRPr="00185B69" w14:paraId="08FFBCD2" w14:textId="77777777" w:rsidTr="00A866AE">
        <w:trPr>
          <w:jc w:val="center"/>
        </w:trPr>
        <w:tc>
          <w:tcPr>
            <w:tcW w:w="1129" w:type="dxa"/>
            <w:shd w:val="clear" w:color="auto" w:fill="DDD9C3" w:themeFill="background2" w:themeFillShade="E6"/>
            <w:vAlign w:val="center"/>
          </w:tcPr>
          <w:p w14:paraId="7B5CFC33" w14:textId="77777777" w:rsidR="00233A89" w:rsidRPr="00185B69" w:rsidRDefault="00233A89" w:rsidP="00A866AE">
            <w:pPr>
              <w:contextualSpacing/>
              <w:jc w:val="center"/>
              <w:rPr>
                <w:rFonts w:ascii="Calibri" w:hAnsi="Calibri" w:cs="Calibri"/>
                <w:b/>
                <w:bCs/>
                <w:sz w:val="20"/>
                <w:szCs w:val="20"/>
              </w:rPr>
            </w:pPr>
            <w:bookmarkStart w:id="23" w:name="_Hlk221785320"/>
            <w:r w:rsidRPr="00185B69">
              <w:rPr>
                <w:rFonts w:ascii="Calibri" w:hAnsi="Calibri" w:cs="Calibri"/>
                <w:b/>
                <w:bCs/>
                <w:sz w:val="20"/>
                <w:szCs w:val="20"/>
              </w:rPr>
              <w:t>N° du lot</w:t>
            </w:r>
          </w:p>
        </w:tc>
        <w:tc>
          <w:tcPr>
            <w:tcW w:w="9072" w:type="dxa"/>
            <w:shd w:val="clear" w:color="auto" w:fill="DDD9C3" w:themeFill="background2" w:themeFillShade="E6"/>
            <w:vAlign w:val="center"/>
          </w:tcPr>
          <w:p w14:paraId="39443706"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Intitulé du lot</w:t>
            </w:r>
          </w:p>
        </w:tc>
      </w:tr>
      <w:tr w:rsidR="00233A89" w:rsidRPr="00185B69" w14:paraId="7D8E4F90" w14:textId="77777777" w:rsidTr="00A866AE">
        <w:trPr>
          <w:trHeight w:val="303"/>
          <w:jc w:val="center"/>
        </w:trPr>
        <w:tc>
          <w:tcPr>
            <w:tcW w:w="1129" w:type="dxa"/>
            <w:vAlign w:val="center"/>
          </w:tcPr>
          <w:p w14:paraId="55FB7D62" w14:textId="77777777" w:rsidR="00233A89" w:rsidRPr="00185B69" w:rsidRDefault="00233A89" w:rsidP="00A866AE">
            <w:pPr>
              <w:contextualSpacing/>
              <w:jc w:val="center"/>
              <w:rPr>
                <w:rFonts w:ascii="Calibri" w:hAnsi="Calibri" w:cs="Calibri"/>
                <w:b/>
                <w:bCs/>
                <w:sz w:val="20"/>
                <w:szCs w:val="20"/>
              </w:rPr>
            </w:pPr>
            <w:bookmarkStart w:id="24" w:name="_Hlk184222576"/>
            <w:r w:rsidRPr="00185B69">
              <w:rPr>
                <w:rFonts w:ascii="Calibri" w:hAnsi="Calibri" w:cs="Calibri"/>
                <w:b/>
                <w:bCs/>
                <w:sz w:val="20"/>
                <w:szCs w:val="20"/>
              </w:rPr>
              <w:t>1</w:t>
            </w:r>
          </w:p>
        </w:tc>
        <w:tc>
          <w:tcPr>
            <w:tcW w:w="9072" w:type="dxa"/>
            <w:vAlign w:val="center"/>
          </w:tcPr>
          <w:p w14:paraId="2C06022D"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w:t>
            </w:r>
            <w:bookmarkStart w:id="25" w:name="_Hlk221807332"/>
            <w:r w:rsidRPr="00185B69">
              <w:rPr>
                <w:rFonts w:ascii="Calibri" w:eastAsia="Century Gothic" w:hAnsi="Calibri" w:cs="Calibri"/>
                <w:sz w:val="20"/>
                <w:szCs w:val="20"/>
              </w:rPr>
              <w:t>Assistance technique et expertise informatique dans la gestion des systèmes d’information du CNM</w:t>
            </w:r>
            <w:bookmarkEnd w:id="25"/>
          </w:p>
        </w:tc>
      </w:tr>
      <w:bookmarkEnd w:id="24"/>
      <w:tr w:rsidR="00233A89" w:rsidRPr="00185B69" w14:paraId="044E3F51" w14:textId="77777777" w:rsidTr="00A866AE">
        <w:trPr>
          <w:trHeight w:val="278"/>
          <w:jc w:val="center"/>
        </w:trPr>
        <w:tc>
          <w:tcPr>
            <w:tcW w:w="1129" w:type="dxa"/>
            <w:vAlign w:val="center"/>
          </w:tcPr>
          <w:p w14:paraId="578F31A2"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2</w:t>
            </w:r>
          </w:p>
        </w:tc>
        <w:tc>
          <w:tcPr>
            <w:tcW w:w="9072" w:type="dxa"/>
            <w:vAlign w:val="center"/>
          </w:tcPr>
          <w:p w14:paraId="2B700A77"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applicatifs métiers</w:t>
            </w:r>
          </w:p>
        </w:tc>
      </w:tr>
      <w:tr w:rsidR="00233A89" w:rsidRPr="00185B69" w14:paraId="373AA0E6" w14:textId="77777777" w:rsidTr="00A866AE">
        <w:trPr>
          <w:trHeight w:val="269"/>
          <w:jc w:val="center"/>
        </w:trPr>
        <w:tc>
          <w:tcPr>
            <w:tcW w:w="1129" w:type="dxa"/>
            <w:vAlign w:val="center"/>
          </w:tcPr>
          <w:p w14:paraId="48DFAFDC"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3</w:t>
            </w:r>
          </w:p>
        </w:tc>
        <w:tc>
          <w:tcPr>
            <w:tcW w:w="9072" w:type="dxa"/>
            <w:vAlign w:val="center"/>
          </w:tcPr>
          <w:p w14:paraId="486A75EB" w14:textId="77777777" w:rsidR="00233A89" w:rsidRPr="00185B69" w:rsidRDefault="00233A89" w:rsidP="00A866AE">
            <w:pPr>
              <w:contextualSpacing/>
              <w:rPr>
                <w:rFonts w:ascii="Calibri" w:eastAsia="Century Gothic" w:hAnsi="Calibri" w:cs="Calibri"/>
                <w:sz w:val="20"/>
                <w:szCs w:val="20"/>
              </w:rPr>
            </w:pPr>
            <w:r w:rsidRPr="00185B69">
              <w:rPr>
                <w:rFonts w:ascii="Calibri" w:eastAsia="Century Gothic" w:hAnsi="Calibri" w:cs="Calibri"/>
                <w:sz w:val="20"/>
                <w:szCs w:val="20"/>
              </w:rPr>
              <w:t xml:space="preserve">Tierce maintenance applicative et évolutive de l’applicatif « </w:t>
            </w:r>
            <w:proofErr w:type="spellStart"/>
            <w:r w:rsidRPr="00185B69">
              <w:rPr>
                <w:rFonts w:ascii="Calibri" w:eastAsia="Century Gothic" w:hAnsi="Calibri" w:cs="Calibri"/>
                <w:sz w:val="20"/>
                <w:szCs w:val="20"/>
              </w:rPr>
              <w:t>Musicdb</w:t>
            </w:r>
            <w:proofErr w:type="spellEnd"/>
            <w:r w:rsidRPr="00185B69">
              <w:rPr>
                <w:rFonts w:ascii="Calibri" w:eastAsia="Century Gothic" w:hAnsi="Calibri" w:cs="Calibri"/>
                <w:sz w:val="20"/>
                <w:szCs w:val="20"/>
              </w:rPr>
              <w:t xml:space="preserve"> »</w:t>
            </w:r>
          </w:p>
        </w:tc>
      </w:tr>
      <w:tr w:rsidR="00233A89" w:rsidRPr="00185B69" w14:paraId="3D7BAE66" w14:textId="77777777" w:rsidTr="00A866AE">
        <w:trPr>
          <w:trHeight w:val="287"/>
          <w:jc w:val="center"/>
        </w:trPr>
        <w:tc>
          <w:tcPr>
            <w:tcW w:w="1129" w:type="dxa"/>
            <w:vAlign w:val="center"/>
          </w:tcPr>
          <w:p w14:paraId="5F3B59F1"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4</w:t>
            </w:r>
          </w:p>
        </w:tc>
        <w:tc>
          <w:tcPr>
            <w:tcW w:w="9072" w:type="dxa"/>
            <w:vAlign w:val="center"/>
          </w:tcPr>
          <w:p w14:paraId="02F649D9"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sites web CNM.fr / </w:t>
            </w:r>
            <w:proofErr w:type="spellStart"/>
            <w:r w:rsidRPr="00185B69">
              <w:rPr>
                <w:rFonts w:ascii="Calibri" w:eastAsia="Century Gothic" w:hAnsi="Calibri" w:cs="Calibri"/>
                <w:sz w:val="20"/>
                <w:szCs w:val="20"/>
              </w:rPr>
              <w:t>CNMLab</w:t>
            </w:r>
            <w:proofErr w:type="spellEnd"/>
            <w:r w:rsidRPr="00185B69">
              <w:rPr>
                <w:rFonts w:ascii="Calibri" w:eastAsia="Century Gothic" w:hAnsi="Calibri" w:cs="Calibri"/>
                <w:sz w:val="20"/>
                <w:szCs w:val="20"/>
              </w:rPr>
              <w:t xml:space="preserve"> / </w:t>
            </w:r>
            <w:proofErr w:type="spellStart"/>
            <w:r w:rsidRPr="00185B69">
              <w:rPr>
                <w:rFonts w:ascii="Calibri" w:eastAsia="Century Gothic" w:hAnsi="Calibri" w:cs="Calibri"/>
                <w:sz w:val="20"/>
                <w:szCs w:val="20"/>
              </w:rPr>
              <w:t>IntranetCollab</w:t>
            </w:r>
            <w:proofErr w:type="spellEnd"/>
          </w:p>
        </w:tc>
      </w:tr>
      <w:tr w:rsidR="00233A89" w:rsidRPr="00185B69" w14:paraId="64BAC616" w14:textId="77777777" w:rsidTr="00A866AE">
        <w:trPr>
          <w:trHeight w:val="209"/>
          <w:jc w:val="center"/>
        </w:trPr>
        <w:tc>
          <w:tcPr>
            <w:tcW w:w="1129" w:type="dxa"/>
            <w:vAlign w:val="center"/>
          </w:tcPr>
          <w:p w14:paraId="4CDE4B1C"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5</w:t>
            </w:r>
          </w:p>
        </w:tc>
        <w:tc>
          <w:tcPr>
            <w:tcW w:w="9072" w:type="dxa"/>
            <w:vAlign w:val="center"/>
          </w:tcPr>
          <w:p w14:paraId="06F449AA"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web « </w:t>
            </w:r>
            <w:proofErr w:type="spellStart"/>
            <w:r w:rsidRPr="00185B69">
              <w:rPr>
                <w:rFonts w:ascii="Calibri" w:eastAsia="Century Gothic" w:hAnsi="Calibri" w:cs="Calibri"/>
                <w:sz w:val="20"/>
                <w:szCs w:val="20"/>
              </w:rPr>
              <w:t>What</w:t>
            </w:r>
            <w:proofErr w:type="spellEnd"/>
            <w:r w:rsidRPr="00185B69">
              <w:rPr>
                <w:rFonts w:ascii="Calibri" w:eastAsia="Century Gothic" w:hAnsi="Calibri" w:cs="Calibri"/>
                <w:sz w:val="20"/>
                <w:szCs w:val="20"/>
              </w:rPr>
              <w:t xml:space="preserve"> the France »</w:t>
            </w:r>
          </w:p>
        </w:tc>
      </w:tr>
      <w:tr w:rsidR="00233A89" w:rsidRPr="00185B69" w14:paraId="4A849CA8" w14:textId="77777777" w:rsidTr="00A866AE">
        <w:trPr>
          <w:trHeight w:val="241"/>
          <w:jc w:val="center"/>
        </w:trPr>
        <w:tc>
          <w:tcPr>
            <w:tcW w:w="1129" w:type="dxa"/>
            <w:vAlign w:val="center"/>
          </w:tcPr>
          <w:p w14:paraId="6C4E3732"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6</w:t>
            </w:r>
          </w:p>
        </w:tc>
        <w:tc>
          <w:tcPr>
            <w:tcW w:w="9072" w:type="dxa"/>
            <w:vAlign w:val="center"/>
          </w:tcPr>
          <w:p w14:paraId="0FA86703"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 La Boutique »</w:t>
            </w:r>
          </w:p>
        </w:tc>
      </w:tr>
      <w:tr w:rsidR="00233A89" w:rsidRPr="00185B69" w14:paraId="0B1EB972" w14:textId="77777777" w:rsidTr="00A866AE">
        <w:trPr>
          <w:trHeight w:val="259"/>
          <w:jc w:val="center"/>
        </w:trPr>
        <w:tc>
          <w:tcPr>
            <w:tcW w:w="1129" w:type="dxa"/>
            <w:vAlign w:val="center"/>
          </w:tcPr>
          <w:p w14:paraId="5C7AA635"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7</w:t>
            </w:r>
          </w:p>
        </w:tc>
        <w:tc>
          <w:tcPr>
            <w:tcW w:w="9072" w:type="dxa"/>
            <w:vAlign w:val="center"/>
          </w:tcPr>
          <w:p w14:paraId="68471C8A"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Analyse de performances et conception d’interface graphique utilisateur des sites du CNM</w:t>
            </w:r>
          </w:p>
        </w:tc>
      </w:tr>
      <w:tr w:rsidR="00233A89" w:rsidRPr="00185B69" w14:paraId="7D5F2643" w14:textId="77777777" w:rsidTr="00A866AE">
        <w:trPr>
          <w:trHeight w:val="149"/>
          <w:jc w:val="center"/>
        </w:trPr>
        <w:tc>
          <w:tcPr>
            <w:tcW w:w="1129" w:type="dxa"/>
            <w:vAlign w:val="center"/>
          </w:tcPr>
          <w:p w14:paraId="34BCFFB0"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8</w:t>
            </w:r>
          </w:p>
        </w:tc>
        <w:tc>
          <w:tcPr>
            <w:tcW w:w="9072" w:type="dxa"/>
            <w:vAlign w:val="center"/>
          </w:tcPr>
          <w:p w14:paraId="51A9E265" w14:textId="77777777" w:rsidR="00233A89" w:rsidRPr="00185B69" w:rsidRDefault="00233A89" w:rsidP="00A866AE">
            <w:pPr>
              <w:contextualSpacing/>
              <w:rPr>
                <w:rFonts w:ascii="Calibri" w:hAnsi="Calibri" w:cs="Calibri"/>
                <w:sz w:val="20"/>
                <w:szCs w:val="20"/>
              </w:rPr>
            </w:pPr>
            <w:r w:rsidRPr="00185B69">
              <w:rPr>
                <w:rFonts w:ascii="Calibri" w:hAnsi="Calibri" w:cs="Calibri"/>
                <w:sz w:val="20"/>
                <w:szCs w:val="20"/>
              </w:rPr>
              <w:t xml:space="preserve"> Audit d’accessibilité des sites du CNM (RGAA)</w:t>
            </w:r>
          </w:p>
        </w:tc>
      </w:tr>
    </w:tbl>
    <w:bookmarkEnd w:id="23"/>
    <w:p w14:paraId="78E4AD33" w14:textId="76EC23B1" w:rsidR="001837E2" w:rsidRPr="00C749C5" w:rsidRDefault="001837E2" w:rsidP="001837E2">
      <w:pPr>
        <w:tabs>
          <w:tab w:val="left" w:pos="1134"/>
          <w:tab w:val="left" w:pos="1418"/>
        </w:tabs>
        <w:spacing w:before="120"/>
        <w:jc w:val="both"/>
        <w:rPr>
          <w:b/>
          <w:bCs/>
          <w:sz w:val="20"/>
          <w:szCs w:val="20"/>
          <w:u w:val="single"/>
        </w:rPr>
      </w:pPr>
      <w:r w:rsidRPr="00C749C5">
        <w:rPr>
          <w:b/>
          <w:bCs/>
          <w:sz w:val="20"/>
          <w:szCs w:val="20"/>
          <w:u w:val="single"/>
        </w:rPr>
        <w:t xml:space="preserve">La présente convention d’accord-cadre concerne le </w:t>
      </w:r>
      <w:r w:rsidRPr="00233A89">
        <w:rPr>
          <w:b/>
          <w:bCs/>
          <w:color w:val="FF0000"/>
          <w:sz w:val="20"/>
          <w:szCs w:val="20"/>
          <w:u w:val="single"/>
        </w:rPr>
        <w:t xml:space="preserve">lot n°1. </w:t>
      </w:r>
    </w:p>
    <w:bookmarkEnd w:id="22"/>
    <w:p w14:paraId="77533D4B" w14:textId="77777777" w:rsidR="00E50274" w:rsidRPr="002C2F10" w:rsidRDefault="00E50274" w:rsidP="00E50274">
      <w:pPr>
        <w:spacing w:before="240"/>
        <w:ind w:left="993"/>
        <w:jc w:val="both"/>
        <w:rPr>
          <w:b/>
          <w:bCs/>
          <w:color w:val="FFC000"/>
        </w:rPr>
      </w:pPr>
      <w:r>
        <w:rPr>
          <w:b/>
          <w:bCs/>
          <w:color w:val="FFC000"/>
        </w:rPr>
        <w:t>2</w:t>
      </w:r>
      <w:r w:rsidRPr="002C2F10">
        <w:rPr>
          <w:b/>
          <w:bCs/>
          <w:color w:val="FFC000"/>
        </w:rPr>
        <w:t xml:space="preserve">.2.2 </w:t>
      </w:r>
      <w:r>
        <w:rPr>
          <w:b/>
          <w:bCs/>
          <w:color w:val="FFC000"/>
        </w:rPr>
        <w:t>Variante, prestations supplémentaires et tranches optionnelles</w:t>
      </w:r>
      <w:r w:rsidRPr="002C2F10">
        <w:rPr>
          <w:b/>
          <w:bCs/>
          <w:color w:val="FFC000"/>
        </w:rPr>
        <w:t xml:space="preserve"> </w:t>
      </w:r>
    </w:p>
    <w:p w14:paraId="3F388BAD" w14:textId="4F779C3A" w:rsidR="00E50274" w:rsidRPr="00E50274" w:rsidRDefault="00C749C5" w:rsidP="00E50274">
      <w:pPr>
        <w:spacing w:before="240"/>
        <w:jc w:val="both"/>
        <w:rPr>
          <w:b/>
          <w:bCs/>
          <w:sz w:val="20"/>
          <w:szCs w:val="20"/>
        </w:rPr>
      </w:pPr>
      <w:r>
        <w:rPr>
          <w:sz w:val="20"/>
          <w:szCs w:val="20"/>
        </w:rPr>
        <w:t>Sans objet.</w:t>
      </w:r>
    </w:p>
    <w:p w14:paraId="6C774D11" w14:textId="2F6E5B09" w:rsidR="00663F49" w:rsidRPr="00A96A79" w:rsidRDefault="00663F49" w:rsidP="00663F49">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6" w:name="_Toc222243920"/>
      <w:r w:rsidRPr="00A96A79">
        <w:rPr>
          <w:bCs w:val="0"/>
          <w:color w:val="683766"/>
          <w:sz w:val="22"/>
          <w:szCs w:val="22"/>
        </w:rPr>
        <w:t>Forme de l’accord-cadre</w:t>
      </w:r>
      <w:bookmarkEnd w:id="26"/>
      <w:r w:rsidR="002C2F10" w:rsidRPr="00A96A79">
        <w:rPr>
          <w:bCs w:val="0"/>
          <w:color w:val="683766"/>
          <w:sz w:val="22"/>
          <w:szCs w:val="22"/>
        </w:rPr>
        <w:t xml:space="preserve"> </w:t>
      </w:r>
    </w:p>
    <w:p w14:paraId="63D4685D" w14:textId="2424689D" w:rsidR="00E82BFA" w:rsidRDefault="00C749C5" w:rsidP="00853CD6">
      <w:pPr>
        <w:spacing w:before="240"/>
        <w:jc w:val="both"/>
        <w:rPr>
          <w:sz w:val="20"/>
          <w:szCs w:val="20"/>
        </w:rPr>
      </w:pPr>
      <w:bookmarkStart w:id="27" w:name="_Hlk184223084"/>
      <w:r>
        <w:rPr>
          <w:b/>
          <w:bCs/>
          <w:sz w:val="20"/>
          <w:szCs w:val="20"/>
        </w:rPr>
        <w:t>Le marché</w:t>
      </w:r>
      <w:r w:rsidR="00853CD6" w:rsidRPr="00853CD6">
        <w:rPr>
          <w:b/>
          <w:bCs/>
          <w:sz w:val="20"/>
          <w:szCs w:val="20"/>
        </w:rPr>
        <w:t xml:space="preserve"> </w:t>
      </w:r>
      <w:r>
        <w:rPr>
          <w:b/>
          <w:bCs/>
          <w:sz w:val="20"/>
          <w:szCs w:val="20"/>
        </w:rPr>
        <w:t xml:space="preserve">public </w:t>
      </w:r>
      <w:r w:rsidR="001E2810">
        <w:rPr>
          <w:b/>
          <w:bCs/>
          <w:sz w:val="20"/>
          <w:szCs w:val="20"/>
        </w:rPr>
        <w:t>est</w:t>
      </w:r>
      <w:r>
        <w:rPr>
          <w:b/>
          <w:bCs/>
          <w:sz w:val="20"/>
          <w:szCs w:val="20"/>
        </w:rPr>
        <w:t xml:space="preserve"> un accord-cadre</w:t>
      </w:r>
      <w:r w:rsidR="001E2810">
        <w:rPr>
          <w:b/>
          <w:bCs/>
          <w:sz w:val="20"/>
          <w:szCs w:val="20"/>
        </w:rPr>
        <w:t xml:space="preserve"> </w:t>
      </w:r>
      <w:r>
        <w:rPr>
          <w:b/>
          <w:bCs/>
          <w:sz w:val="20"/>
          <w:szCs w:val="20"/>
        </w:rPr>
        <w:t xml:space="preserve">à bons de commande </w:t>
      </w:r>
      <w:r w:rsidR="00D022FE">
        <w:rPr>
          <w:b/>
          <w:bCs/>
          <w:sz w:val="20"/>
          <w:szCs w:val="20"/>
        </w:rPr>
        <w:t>mono-attributaire</w:t>
      </w:r>
      <w:r>
        <w:rPr>
          <w:b/>
          <w:bCs/>
          <w:sz w:val="20"/>
          <w:szCs w:val="20"/>
        </w:rPr>
        <w:t xml:space="preserve"> </w:t>
      </w:r>
      <w:r w:rsidRPr="00806B57">
        <w:rPr>
          <w:sz w:val="20"/>
          <w:szCs w:val="20"/>
        </w:rPr>
        <w:t>en application de l’article R.</w:t>
      </w:r>
      <w:r w:rsidR="00AA192D">
        <w:rPr>
          <w:sz w:val="20"/>
          <w:szCs w:val="20"/>
        </w:rPr>
        <w:t> </w:t>
      </w:r>
      <w:r w:rsidRPr="00806B57">
        <w:rPr>
          <w:sz w:val="20"/>
          <w:szCs w:val="20"/>
        </w:rPr>
        <w:t>2162-3 du code de la commande publique</w:t>
      </w:r>
      <w:r>
        <w:rPr>
          <w:sz w:val="20"/>
          <w:szCs w:val="20"/>
        </w:rPr>
        <w:t xml:space="preserve">, </w:t>
      </w:r>
      <w:r w:rsidR="00E82BFA">
        <w:rPr>
          <w:sz w:val="20"/>
          <w:szCs w:val="20"/>
        </w:rPr>
        <w:t xml:space="preserve">exécuté au moyen de l’émission de bons de commande sur la base </w:t>
      </w:r>
      <w:r w:rsidR="00233A89">
        <w:rPr>
          <w:sz w:val="20"/>
          <w:szCs w:val="20"/>
        </w:rPr>
        <w:t>du</w:t>
      </w:r>
      <w:r w:rsidR="00E82BFA">
        <w:rPr>
          <w:sz w:val="20"/>
          <w:szCs w:val="20"/>
        </w:rPr>
        <w:t xml:space="preserve"> Bordereau des Prix Unitaires</w:t>
      </w:r>
      <w:r>
        <w:rPr>
          <w:sz w:val="20"/>
          <w:szCs w:val="20"/>
        </w:rPr>
        <w:t>.</w:t>
      </w:r>
    </w:p>
    <w:bookmarkEnd w:id="27"/>
    <w:p w14:paraId="528A2815" w14:textId="4B73BCFD" w:rsidR="00A950FB" w:rsidRDefault="006D2306" w:rsidP="00A653BA">
      <w:pPr>
        <w:spacing w:before="240"/>
        <w:ind w:left="993"/>
        <w:jc w:val="both"/>
        <w:rPr>
          <w:b/>
          <w:bCs/>
          <w:color w:val="FFC000"/>
          <w:sz w:val="20"/>
          <w:szCs w:val="20"/>
        </w:rPr>
      </w:pPr>
      <w:r w:rsidRPr="00A96A79">
        <w:rPr>
          <w:b/>
          <w:bCs/>
          <w:color w:val="FFC000"/>
          <w:sz w:val="20"/>
          <w:szCs w:val="20"/>
        </w:rPr>
        <w:t>2.3</w:t>
      </w:r>
      <w:r w:rsidR="004A5D23" w:rsidRPr="00A96A79">
        <w:rPr>
          <w:b/>
          <w:bCs/>
          <w:color w:val="FFC000"/>
          <w:sz w:val="20"/>
          <w:szCs w:val="20"/>
        </w:rPr>
        <w:t>.</w:t>
      </w:r>
      <w:r w:rsidR="00E82BFA" w:rsidRPr="00A96A79">
        <w:rPr>
          <w:b/>
          <w:bCs/>
          <w:color w:val="FFC000"/>
          <w:sz w:val="20"/>
          <w:szCs w:val="20"/>
        </w:rPr>
        <w:t>2</w:t>
      </w:r>
      <w:r w:rsidR="004A5D23" w:rsidRPr="00A96A79">
        <w:rPr>
          <w:b/>
          <w:bCs/>
          <w:color w:val="FFC000"/>
          <w:sz w:val="20"/>
          <w:szCs w:val="20"/>
        </w:rPr>
        <w:t xml:space="preserve"> Présentation</w:t>
      </w:r>
      <w:r w:rsidR="00E82BFA" w:rsidRPr="00A96A79">
        <w:rPr>
          <w:b/>
          <w:bCs/>
          <w:color w:val="FFC000"/>
          <w:sz w:val="20"/>
          <w:szCs w:val="20"/>
        </w:rPr>
        <w:t xml:space="preserve"> </w:t>
      </w:r>
      <w:r w:rsidR="00C749C5">
        <w:rPr>
          <w:b/>
          <w:bCs/>
          <w:color w:val="FFC000"/>
          <w:sz w:val="20"/>
          <w:szCs w:val="20"/>
        </w:rPr>
        <w:t>des bons de commande</w:t>
      </w:r>
      <w:r w:rsidR="004A5D23" w:rsidRPr="00A96A79">
        <w:rPr>
          <w:b/>
          <w:bCs/>
          <w:color w:val="FFC000"/>
          <w:sz w:val="20"/>
          <w:szCs w:val="20"/>
        </w:rPr>
        <w:t xml:space="preserve"> </w:t>
      </w:r>
    </w:p>
    <w:p w14:paraId="4F3A534D" w14:textId="77777777" w:rsidR="00C749C5" w:rsidRDefault="00C749C5" w:rsidP="00C749C5">
      <w:pPr>
        <w:tabs>
          <w:tab w:val="left" w:pos="180"/>
        </w:tabs>
        <w:spacing w:before="120" w:after="240" w:line="240" w:lineRule="auto"/>
        <w:jc w:val="both"/>
        <w:rPr>
          <w:sz w:val="20"/>
          <w:szCs w:val="20"/>
        </w:rPr>
      </w:pPr>
      <w:r>
        <w:rPr>
          <w:sz w:val="20"/>
          <w:szCs w:val="20"/>
        </w:rPr>
        <w:t xml:space="preserve">Chaque commande sera notifiée au prestataire par le pouvoir adjudicateur par l’émission de bons de commande au fur et à mesure de ses besoins. </w:t>
      </w:r>
    </w:p>
    <w:p w14:paraId="2EA0A98E" w14:textId="4E2E1018" w:rsidR="002C2F10" w:rsidRPr="00806B57" w:rsidRDefault="002C2F10" w:rsidP="002C2F10">
      <w:pPr>
        <w:tabs>
          <w:tab w:val="left" w:pos="180"/>
        </w:tabs>
        <w:spacing w:before="120" w:after="240" w:line="240" w:lineRule="auto"/>
        <w:jc w:val="both"/>
        <w:rPr>
          <w:sz w:val="20"/>
          <w:szCs w:val="20"/>
        </w:rPr>
      </w:pPr>
      <w:r w:rsidRPr="00806B57">
        <w:rPr>
          <w:sz w:val="20"/>
          <w:szCs w:val="20"/>
        </w:rPr>
        <w:t>Chaque bon de commande précisera :</w:t>
      </w:r>
    </w:p>
    <w:p w14:paraId="64957809"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le</w:t>
      </w:r>
      <w:proofErr w:type="gramEnd"/>
      <w:r w:rsidRPr="00806B57">
        <w:rPr>
          <w:sz w:val="20"/>
          <w:szCs w:val="20"/>
        </w:rPr>
        <w:t xml:space="preserve"> contenu et les quantités des prestations à réaliser,</w:t>
      </w:r>
    </w:p>
    <w:p w14:paraId="552AEE19"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le</w:t>
      </w:r>
      <w:proofErr w:type="gramEnd"/>
      <w:r w:rsidRPr="00806B57">
        <w:rPr>
          <w:sz w:val="20"/>
          <w:szCs w:val="20"/>
        </w:rPr>
        <w:t xml:space="preserve"> montant du bon de commande,</w:t>
      </w:r>
    </w:p>
    <w:p w14:paraId="6AFD2672"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proofErr w:type="gramStart"/>
      <w:r w:rsidRPr="00806B57">
        <w:rPr>
          <w:sz w:val="20"/>
          <w:szCs w:val="20"/>
        </w:rPr>
        <w:t>s'il</w:t>
      </w:r>
      <w:proofErr w:type="gramEnd"/>
      <w:r w:rsidRPr="00806B57">
        <w:rPr>
          <w:sz w:val="20"/>
          <w:szCs w:val="20"/>
        </w:rPr>
        <w:t xml:space="preserve"> y a lieu :</w:t>
      </w:r>
    </w:p>
    <w:p w14:paraId="2AFB61D7"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lastRenderedPageBreak/>
        <w:t>les</w:t>
      </w:r>
      <w:proofErr w:type="gramEnd"/>
      <w:r w:rsidRPr="00806B57">
        <w:rPr>
          <w:sz w:val="20"/>
          <w:szCs w:val="20"/>
        </w:rPr>
        <w:t xml:space="preserve"> conditions particulières d'exécution </w:t>
      </w:r>
    </w:p>
    <w:p w14:paraId="08E545E2"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conditions particulières de livraison (matériel utilisé, capacité de contenance des véhicules par exemple) et d’admission,</w:t>
      </w:r>
    </w:p>
    <w:p w14:paraId="5EB69B3C"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délais d'exécution</w:t>
      </w:r>
    </w:p>
    <w:p w14:paraId="1E6E261D"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w:t>
      </w:r>
      <w:proofErr w:type="gramEnd"/>
      <w:r w:rsidRPr="00806B57">
        <w:rPr>
          <w:sz w:val="20"/>
          <w:szCs w:val="20"/>
        </w:rPr>
        <w:t xml:space="preserve"> lieu d'exécution</w:t>
      </w:r>
    </w:p>
    <w:p w14:paraId="02B8EDCC" w14:textId="77777777" w:rsidR="002C2F10" w:rsidRPr="00806B57" w:rsidRDefault="002C2F10" w:rsidP="00A019C0">
      <w:pPr>
        <w:numPr>
          <w:ilvl w:val="2"/>
          <w:numId w:val="9"/>
        </w:numPr>
        <w:spacing w:before="120" w:after="120" w:line="240" w:lineRule="auto"/>
        <w:ind w:left="1843"/>
        <w:jc w:val="both"/>
        <w:rPr>
          <w:sz w:val="20"/>
          <w:szCs w:val="20"/>
        </w:rPr>
      </w:pPr>
      <w:proofErr w:type="gramStart"/>
      <w:r w:rsidRPr="00806B57">
        <w:rPr>
          <w:sz w:val="20"/>
          <w:szCs w:val="20"/>
        </w:rPr>
        <w:t>les</w:t>
      </w:r>
      <w:proofErr w:type="gramEnd"/>
      <w:r w:rsidRPr="00806B57">
        <w:rPr>
          <w:sz w:val="20"/>
          <w:szCs w:val="20"/>
        </w:rPr>
        <w:t xml:space="preserve"> documents à fournir à la livraison.</w:t>
      </w:r>
    </w:p>
    <w:p w14:paraId="0B8754A0" w14:textId="6943D929" w:rsidR="002C2F10" w:rsidRDefault="002C2F10" w:rsidP="002C2F10">
      <w:pPr>
        <w:tabs>
          <w:tab w:val="left" w:pos="180"/>
        </w:tabs>
        <w:spacing w:before="240" w:after="240" w:line="240" w:lineRule="auto"/>
        <w:jc w:val="both"/>
        <w:rPr>
          <w:sz w:val="20"/>
          <w:szCs w:val="20"/>
        </w:rPr>
      </w:pPr>
      <w:r w:rsidRPr="00806B57">
        <w:rPr>
          <w:sz w:val="20"/>
          <w:szCs w:val="20"/>
        </w:rPr>
        <w:t xml:space="preserve">Chaque bon de commande sera notifié au prestataire dans les conditions définies </w:t>
      </w:r>
      <w:r w:rsidR="00853CD6">
        <w:rPr>
          <w:sz w:val="20"/>
          <w:szCs w:val="20"/>
        </w:rPr>
        <w:t xml:space="preserve">à l’article 2.5 ci-dessous et </w:t>
      </w:r>
      <w:r w:rsidRPr="00806B57">
        <w:rPr>
          <w:sz w:val="20"/>
          <w:szCs w:val="20"/>
        </w:rPr>
        <w:t>à l'article 3.7 du CCAG</w:t>
      </w:r>
      <w:r w:rsidR="00454554" w:rsidRPr="00806B57">
        <w:rPr>
          <w:sz w:val="20"/>
          <w:szCs w:val="20"/>
        </w:rPr>
        <w:t>-</w:t>
      </w:r>
      <w:r w:rsidR="00C749C5">
        <w:rPr>
          <w:sz w:val="20"/>
          <w:szCs w:val="20"/>
        </w:rPr>
        <w:t>TIC.</w:t>
      </w:r>
      <w:r w:rsidRPr="00806B57">
        <w:rPr>
          <w:sz w:val="20"/>
          <w:szCs w:val="20"/>
        </w:rPr>
        <w:t xml:space="preserve"> </w:t>
      </w:r>
    </w:p>
    <w:p w14:paraId="4FEAD129" w14:textId="26660628"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8" w:name="_Toc248736077"/>
      <w:bookmarkStart w:id="29" w:name="_Toc158813767"/>
      <w:bookmarkStart w:id="30" w:name="_Toc222243921"/>
      <w:r w:rsidRPr="00A96A79">
        <w:rPr>
          <w:bCs w:val="0"/>
          <w:color w:val="683766"/>
          <w:sz w:val="22"/>
          <w:szCs w:val="22"/>
        </w:rPr>
        <w:t xml:space="preserve">Représentation </w:t>
      </w:r>
      <w:bookmarkStart w:id="31" w:name="_Toc125272994"/>
      <w:bookmarkStart w:id="32" w:name="_Toc221004742"/>
      <w:bookmarkEnd w:id="28"/>
      <w:bookmarkEnd w:id="29"/>
      <w:bookmarkEnd w:id="31"/>
      <w:bookmarkEnd w:id="32"/>
      <w:r w:rsidR="00A42B1A">
        <w:rPr>
          <w:bCs w:val="0"/>
          <w:color w:val="683766"/>
          <w:sz w:val="22"/>
          <w:szCs w:val="22"/>
        </w:rPr>
        <w:t>du titulaire</w:t>
      </w:r>
      <w:bookmarkEnd w:id="30"/>
    </w:p>
    <w:p w14:paraId="7E66EE34" w14:textId="2BE0053D" w:rsidR="00454554" w:rsidRPr="00806B57" w:rsidRDefault="00454554" w:rsidP="00454554">
      <w:pPr>
        <w:spacing w:before="240"/>
        <w:jc w:val="both"/>
        <w:rPr>
          <w:sz w:val="20"/>
          <w:szCs w:val="20"/>
        </w:rPr>
      </w:pPr>
      <w:r w:rsidRPr="00806B57">
        <w:rPr>
          <w:sz w:val="20"/>
          <w:szCs w:val="20"/>
        </w:rPr>
        <w:t>Conformément aux articles 3.3 et 3.4.1 du CCAG-</w:t>
      </w:r>
      <w:r w:rsidR="00C749C5">
        <w:rPr>
          <w:sz w:val="20"/>
          <w:szCs w:val="20"/>
        </w:rPr>
        <w:t>TIC,</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3" w:name="_Toc158813768"/>
      <w:bookmarkStart w:id="34" w:name="_Toc248736078"/>
      <w:bookmarkStart w:id="35" w:name="_Toc236631696"/>
      <w:bookmarkStart w:id="36" w:name="_Toc222243922"/>
      <w:r w:rsidRPr="00A96A79">
        <w:rPr>
          <w:bCs w:val="0"/>
          <w:color w:val="683766"/>
          <w:sz w:val="22"/>
          <w:szCs w:val="22"/>
        </w:rPr>
        <w:t>Forme des notifications et informations au titulaire</w:t>
      </w:r>
      <w:bookmarkEnd w:id="33"/>
      <w:bookmarkEnd w:id="34"/>
      <w:bookmarkEnd w:id="35"/>
      <w:bookmarkEnd w:id="36"/>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lastRenderedPageBreak/>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délai de 8 jours à compter de la date de mise à disposition du document sur le profil d’acheteur, à l’issue de ce délai.</w:t>
      </w:r>
    </w:p>
    <w:p w14:paraId="1C17A14E" w14:textId="63D42577" w:rsidR="00454554" w:rsidRPr="00806B57" w:rsidRDefault="00454554" w:rsidP="00454554">
      <w:pPr>
        <w:jc w:val="both"/>
        <w:rPr>
          <w:sz w:val="20"/>
          <w:szCs w:val="20"/>
        </w:rPr>
      </w:pPr>
      <w:r w:rsidRPr="00806B57">
        <w:rPr>
          <w:sz w:val="20"/>
          <w:szCs w:val="20"/>
        </w:rPr>
        <w:t>En complément de l’article 3.1.2 du CCAG-</w:t>
      </w:r>
      <w:r w:rsidR="0018688B">
        <w:rPr>
          <w:sz w:val="20"/>
          <w:szCs w:val="20"/>
        </w:rPr>
        <w:t>TIC</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7" w:name="_Toc158813769"/>
      <w:bookmarkStart w:id="38" w:name="_Toc222243923"/>
      <w:r w:rsidRPr="00A96A79">
        <w:rPr>
          <w:bCs w:val="0"/>
          <w:color w:val="683766"/>
          <w:sz w:val="22"/>
          <w:szCs w:val="22"/>
        </w:rPr>
        <w:t>Notification des modifications portant sur la situation juridique ou économique du titulaire</w:t>
      </w:r>
      <w:bookmarkEnd w:id="37"/>
      <w:bookmarkEnd w:id="38"/>
    </w:p>
    <w:p w14:paraId="787AC8E4" w14:textId="503FE8D4" w:rsidR="00454554" w:rsidRPr="00806B57" w:rsidRDefault="00454554" w:rsidP="00454554">
      <w:pPr>
        <w:spacing w:before="240"/>
        <w:jc w:val="both"/>
        <w:rPr>
          <w:sz w:val="20"/>
          <w:szCs w:val="20"/>
        </w:rPr>
      </w:pPr>
      <w:r w:rsidRPr="00806B57">
        <w:rPr>
          <w:sz w:val="20"/>
          <w:szCs w:val="20"/>
        </w:rPr>
        <w:t>Conformément à l’article 3.4.2 du CCAG-</w:t>
      </w:r>
      <w:r w:rsidR="0018688B">
        <w:rPr>
          <w:sz w:val="20"/>
          <w:szCs w:val="20"/>
        </w:rPr>
        <w:t xml:space="preserve">TIC, </w:t>
      </w:r>
      <w:r w:rsidRPr="00806B57">
        <w:rPr>
          <w:sz w:val="20"/>
          <w:szCs w:val="20"/>
        </w:rPr>
        <w:t>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9" w:name="_Toc158813770"/>
      <w:bookmarkStart w:id="40" w:name="_Toc222243924"/>
      <w:r w:rsidRPr="00A96A79">
        <w:rPr>
          <w:bCs w:val="0"/>
          <w:color w:val="683766"/>
          <w:sz w:val="22"/>
          <w:szCs w:val="22"/>
        </w:rPr>
        <w:t>Conduite des prestations par une personne nommément désignée</w:t>
      </w:r>
      <w:bookmarkEnd w:id="39"/>
      <w:bookmarkEnd w:id="40"/>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30368BBE"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w:t>
      </w:r>
      <w:r w:rsidR="00B71DCE">
        <w:rPr>
          <w:sz w:val="20"/>
          <w:szCs w:val="20"/>
        </w:rPr>
        <w:t>CNM</w:t>
      </w:r>
      <w:r w:rsidRPr="00A96A79">
        <w:rPr>
          <w:sz w:val="20"/>
          <w:szCs w:val="20"/>
        </w:rPr>
        <w:t xml:space="preserve">. </w:t>
      </w:r>
    </w:p>
    <w:p w14:paraId="56BDAE4E" w14:textId="790073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31727B30"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 xml:space="preserve">par dérogation à l’article 3.4.3 </w:t>
      </w:r>
      <w:r w:rsidRPr="007515DF">
        <w:rPr>
          <w:rFonts w:asciiTheme="minorHAnsi" w:eastAsiaTheme="minorHAnsi" w:hAnsiTheme="minorHAnsi" w:cstheme="minorBidi"/>
          <w:b/>
          <w:color w:val="auto"/>
          <w:spacing w:val="0"/>
          <w:lang w:eastAsia="en-US"/>
        </w:rPr>
        <w:lastRenderedPageBreak/>
        <w:t>du CCAG-</w:t>
      </w:r>
      <w:r w:rsidR="0018688B">
        <w:rPr>
          <w:rFonts w:asciiTheme="minorHAnsi" w:eastAsiaTheme="minorHAnsi" w:hAnsiTheme="minorHAnsi" w:cstheme="minorBidi"/>
          <w:b/>
          <w:color w:val="auto"/>
          <w:spacing w:val="0"/>
          <w:lang w:eastAsia="en-US"/>
        </w:rPr>
        <w:t>TIC</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5D24A9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41" w:name="_Hlk82703724"/>
      <w:r w:rsidRPr="00806B57">
        <w:rPr>
          <w:rFonts w:asciiTheme="minorHAnsi" w:eastAsiaTheme="minorHAnsi" w:hAnsiTheme="minorHAnsi" w:cstheme="minorBidi"/>
          <w:bCs/>
          <w:color w:val="auto"/>
          <w:spacing w:val="0"/>
          <w:lang w:eastAsia="en-US"/>
        </w:rPr>
        <w:t>En complément de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41"/>
    </w:p>
    <w:p w14:paraId="286B2419" w14:textId="5585C1FF"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42" w:name="_Toc158813771"/>
      <w:bookmarkStart w:id="43" w:name="_Toc222243925"/>
      <w:r w:rsidRPr="00A96A79">
        <w:rPr>
          <w:bCs w:val="0"/>
          <w:color w:val="683766"/>
          <w:sz w:val="22"/>
          <w:szCs w:val="22"/>
        </w:rPr>
        <w:t>Ordre de service</w:t>
      </w:r>
      <w:bookmarkEnd w:id="42"/>
      <w:bookmarkEnd w:id="43"/>
    </w:p>
    <w:p w14:paraId="3154947F" w14:textId="18F9930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1C269F41"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64A962FB"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18688B">
        <w:rPr>
          <w:rFonts w:asciiTheme="minorHAnsi" w:eastAsiaTheme="minorHAnsi" w:hAnsiTheme="minorHAnsi" w:cstheme="minorBidi"/>
          <w:b/>
          <w:color w:val="auto"/>
          <w:spacing w:val="0"/>
          <w:lang w:eastAsia="en-US"/>
        </w:rPr>
        <w:t>TIC</w:t>
      </w:r>
      <w:r w:rsidR="007515DF">
        <w:rPr>
          <w:rFonts w:asciiTheme="minorHAnsi" w:eastAsiaTheme="minorHAnsi" w:hAnsiTheme="minorHAnsi" w:cstheme="minorBidi"/>
          <w:bCs/>
          <w:color w:val="auto"/>
          <w:spacing w:val="0"/>
          <w:lang w:eastAsia="en-US"/>
        </w:rPr>
        <w:t xml:space="preserve">, sous peine de forclusion. </w:t>
      </w:r>
    </w:p>
    <w:p w14:paraId="41F78D22" w14:textId="30309CF2"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44" w:name="_Toc222243926"/>
      <w:r w:rsidRPr="00A96A79">
        <w:rPr>
          <w:bCs w:val="0"/>
          <w:color w:val="683766"/>
          <w:sz w:val="22"/>
          <w:szCs w:val="22"/>
        </w:rPr>
        <w:t>Réglementation applicable</w:t>
      </w:r>
      <w:bookmarkEnd w:id="44"/>
    </w:p>
    <w:p w14:paraId="183E5C4A" w14:textId="5F0DF7B5"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 xml:space="preserve">Cahier des Clauses Administratives Générales applicable aux marchés publics </w:t>
      </w:r>
      <w:r w:rsidR="0018688B" w:rsidRPr="0018688B">
        <w:rPr>
          <w:rFonts w:asciiTheme="minorHAnsi" w:eastAsiaTheme="minorHAnsi" w:hAnsiTheme="minorHAnsi" w:cstheme="minorBidi"/>
          <w:b/>
          <w:color w:val="auto"/>
          <w:spacing w:val="0"/>
          <w:lang w:eastAsia="en-US"/>
        </w:rPr>
        <w:t xml:space="preserve">de techniques de l'information et de la communication </w:t>
      </w:r>
      <w:r w:rsidRPr="009C506D">
        <w:rPr>
          <w:rFonts w:asciiTheme="minorHAnsi" w:eastAsiaTheme="minorHAnsi" w:hAnsiTheme="minorHAnsi" w:cstheme="minorBidi"/>
          <w:bCs/>
          <w:color w:val="auto"/>
          <w:spacing w:val="0"/>
          <w:lang w:eastAsia="en-US"/>
        </w:rPr>
        <w:t>(CCAG</w:t>
      </w:r>
      <w:r w:rsidR="0018688B">
        <w:rPr>
          <w:rFonts w:asciiTheme="minorHAnsi" w:eastAsiaTheme="minorHAnsi" w:hAnsiTheme="minorHAnsi" w:cstheme="minorBidi"/>
          <w:bCs/>
          <w:color w:val="auto"/>
          <w:spacing w:val="0"/>
          <w:lang w:eastAsia="en-US"/>
        </w:rPr>
        <w:t>-TIC</w:t>
      </w:r>
      <w:r w:rsidRPr="009C506D">
        <w:rPr>
          <w:rFonts w:asciiTheme="minorHAnsi" w:eastAsiaTheme="minorHAnsi" w:hAnsiTheme="minorHAnsi" w:cstheme="minorBidi"/>
          <w:bCs/>
          <w:color w:val="auto"/>
          <w:spacing w:val="0"/>
          <w:lang w:eastAsia="en-US"/>
        </w:rPr>
        <w:t>) approuvé par l'arrêté du 30 mars 2021 (publié au JORF du 1er avril 2021).</w:t>
      </w:r>
    </w:p>
    <w:p w14:paraId="1DA3F00B" w14:textId="40DD93E6" w:rsidR="00806B57" w:rsidRPr="00A96A79" w:rsidRDefault="00806B57" w:rsidP="00806B57">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45" w:name="_Toc222243927"/>
      <w:r w:rsidRPr="00A96A79">
        <w:rPr>
          <w:bCs w:val="0"/>
          <w:color w:val="683766"/>
          <w:sz w:val="22"/>
          <w:szCs w:val="22"/>
        </w:rPr>
        <w:t>Sous-traitance</w:t>
      </w:r>
      <w:bookmarkEnd w:id="45"/>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w:t>
      </w:r>
      <w:r w:rsidRPr="00806B57">
        <w:rPr>
          <w:rFonts w:asciiTheme="minorHAnsi" w:eastAsiaTheme="minorHAnsi" w:hAnsiTheme="minorHAnsi" w:cstheme="minorBidi"/>
          <w:bCs/>
          <w:color w:val="auto"/>
          <w:spacing w:val="0"/>
          <w:lang w:eastAsia="en-US"/>
        </w:rPr>
        <w:lastRenderedPageBreak/>
        <w:t xml:space="preserve">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F8A46C3"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F330C">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clear" w:pos="851"/>
          <w:tab w:val="num" w:pos="1134"/>
        </w:tabs>
        <w:spacing w:before="120" w:after="120"/>
        <w:ind w:left="1134" w:hanging="1145"/>
        <w:contextualSpacing/>
        <w:jc w:val="both"/>
        <w:rPr>
          <w:bCs w:val="0"/>
          <w:color w:val="683766"/>
          <w:sz w:val="22"/>
          <w:szCs w:val="22"/>
        </w:rPr>
      </w:pPr>
      <w:bookmarkStart w:id="46" w:name="_Toc222243928"/>
      <w:r w:rsidRPr="00A96A79">
        <w:rPr>
          <w:bCs w:val="0"/>
          <w:color w:val="683766"/>
          <w:sz w:val="22"/>
          <w:szCs w:val="22"/>
        </w:rPr>
        <w:t>Réalisation de prestations similaires</w:t>
      </w:r>
      <w:bookmarkEnd w:id="46"/>
      <w:r w:rsidRPr="00A96A79">
        <w:rPr>
          <w:bCs w:val="0"/>
          <w:color w:val="683766"/>
          <w:sz w:val="22"/>
          <w:szCs w:val="22"/>
        </w:rPr>
        <w:t xml:space="preserve"> </w:t>
      </w:r>
    </w:p>
    <w:p w14:paraId="1E3C155B" w14:textId="56C9876C"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L’acheteur se réserve la possibilité de confier à l'attributaire du marché, en application de l'article R</w:t>
      </w:r>
      <w:r w:rsidR="00AF330C">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 xml:space="preserve">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7773C395" w14:textId="575B0135" w:rsidR="0016356D" w:rsidRPr="002336AB" w:rsidRDefault="00B55859" w:rsidP="002336AB">
      <w:pPr>
        <w:pStyle w:val="Titre1"/>
        <w:shd w:val="clear" w:color="auto" w:fill="DC8C00"/>
        <w:contextualSpacing/>
        <w:rPr>
          <w:color w:val="FFFFFF" w:themeColor="background1"/>
        </w:rPr>
      </w:pPr>
      <w:bookmarkStart w:id="47" w:name="_Toc222243929"/>
      <w:r>
        <w:rPr>
          <w:color w:val="FFFFFF" w:themeColor="background1"/>
        </w:rPr>
        <w:t>Durée de l’accord-cadre– Délai d’exécution - Reconduction</w:t>
      </w:r>
      <w:bookmarkEnd w:id="47"/>
    </w:p>
    <w:p w14:paraId="2F231DB2" w14:textId="77777777" w:rsidR="0016356D" w:rsidRDefault="0016356D" w:rsidP="00E06B9A">
      <w:pPr>
        <w:pStyle w:val="NormalWeb"/>
        <w:spacing w:before="0" w:beforeAutospacing="0" w:after="0" w:afterAutospacing="0"/>
        <w:contextualSpacing/>
        <w:jc w:val="both"/>
        <w:rPr>
          <w:rFonts w:asciiTheme="minorHAnsi" w:hAnsiTheme="minorHAnsi"/>
          <w:sz w:val="22"/>
          <w:szCs w:val="22"/>
        </w:rPr>
      </w:pPr>
    </w:p>
    <w:p w14:paraId="3667A951" w14:textId="05A3DED0" w:rsidR="00EC4429" w:rsidRPr="00A96A79" w:rsidRDefault="00EC4429" w:rsidP="00B55859">
      <w:pPr>
        <w:pStyle w:val="Titre2"/>
        <w:shd w:val="clear" w:color="auto" w:fill="auto"/>
        <w:tabs>
          <w:tab w:val="clear" w:pos="851"/>
          <w:tab w:val="num" w:pos="720"/>
        </w:tabs>
        <w:spacing w:before="120" w:after="120"/>
        <w:ind w:left="720" w:hanging="720"/>
        <w:contextualSpacing/>
        <w:rPr>
          <w:bCs w:val="0"/>
          <w:color w:val="683766"/>
          <w:sz w:val="22"/>
          <w:szCs w:val="22"/>
        </w:rPr>
      </w:pPr>
      <w:bookmarkStart w:id="48" w:name="_Toc222243930"/>
      <w:r w:rsidRPr="00A96A79">
        <w:rPr>
          <w:bCs w:val="0"/>
          <w:color w:val="683766"/>
          <w:sz w:val="22"/>
          <w:szCs w:val="22"/>
        </w:rPr>
        <w:t>Durée d</w:t>
      </w:r>
      <w:r w:rsidR="00B55859" w:rsidRPr="00A96A79">
        <w:rPr>
          <w:bCs w:val="0"/>
          <w:color w:val="683766"/>
          <w:sz w:val="22"/>
          <w:szCs w:val="22"/>
        </w:rPr>
        <w:t>e l’accord-cadre</w:t>
      </w:r>
      <w:bookmarkEnd w:id="48"/>
    </w:p>
    <w:p w14:paraId="05F595D6" w14:textId="44879507" w:rsid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297293CD" w14:textId="6C21AFB3" w:rsidR="0077425E" w:rsidRPr="00B55859" w:rsidRDefault="0077425E"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F12B2D">
        <w:rPr>
          <w:rFonts w:asciiTheme="minorHAnsi" w:eastAsiaTheme="minorHAnsi" w:hAnsiTheme="minorHAnsi" w:cstheme="minorBidi"/>
          <w:bCs/>
          <w:color w:val="auto"/>
          <w:spacing w:val="0"/>
          <w:lang w:eastAsia="en-US"/>
        </w:rPr>
        <w:t xml:space="preserve">Le pouvoir adjudicateur ne pourra conclure de bons de commande et/ou des marchés subséquents sur la base de cet accord-cadre que pendant la durée de validité de l’accord-cadre. </w:t>
      </w:r>
    </w:p>
    <w:p w14:paraId="66772F96" w14:textId="17725AF8" w:rsidR="00924BD7" w:rsidRPr="00A96A79" w:rsidRDefault="00924BD7" w:rsidP="00924BD7">
      <w:pPr>
        <w:pStyle w:val="Titre2"/>
        <w:shd w:val="clear" w:color="auto" w:fill="auto"/>
        <w:tabs>
          <w:tab w:val="clear" w:pos="851"/>
          <w:tab w:val="num" w:pos="720"/>
        </w:tabs>
        <w:spacing w:before="120" w:after="120"/>
        <w:ind w:left="720" w:hanging="720"/>
        <w:contextualSpacing/>
        <w:rPr>
          <w:bCs w:val="0"/>
          <w:color w:val="683766"/>
          <w:sz w:val="22"/>
          <w:szCs w:val="22"/>
        </w:rPr>
      </w:pPr>
      <w:bookmarkStart w:id="49" w:name="_Toc222243931"/>
      <w:r w:rsidRPr="00A96A79">
        <w:rPr>
          <w:bCs w:val="0"/>
          <w:color w:val="683766"/>
          <w:sz w:val="22"/>
          <w:szCs w:val="22"/>
        </w:rPr>
        <w:t>Reconduction</w:t>
      </w:r>
      <w:bookmarkEnd w:id="49"/>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50"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50"/>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04B9ED75" w:rsidR="00F413EE" w:rsidRPr="00A96A79" w:rsidRDefault="00F413EE" w:rsidP="00F413EE">
      <w:pPr>
        <w:pStyle w:val="Titre2"/>
        <w:shd w:val="clear" w:color="auto" w:fill="auto"/>
        <w:tabs>
          <w:tab w:val="clear" w:pos="851"/>
          <w:tab w:val="num" w:pos="720"/>
        </w:tabs>
        <w:spacing w:before="120" w:after="120"/>
        <w:ind w:left="720" w:hanging="720"/>
        <w:contextualSpacing/>
        <w:rPr>
          <w:bCs w:val="0"/>
          <w:color w:val="683766"/>
          <w:sz w:val="22"/>
          <w:szCs w:val="22"/>
        </w:rPr>
      </w:pPr>
      <w:bookmarkStart w:id="51" w:name="_Toc222243932"/>
      <w:r w:rsidRPr="00A96A79">
        <w:rPr>
          <w:bCs w:val="0"/>
          <w:color w:val="683766"/>
          <w:sz w:val="22"/>
          <w:szCs w:val="22"/>
        </w:rPr>
        <w:t>Délais d’exécution</w:t>
      </w:r>
      <w:r w:rsidR="00A96A79">
        <w:rPr>
          <w:bCs w:val="0"/>
          <w:color w:val="683766"/>
          <w:sz w:val="22"/>
          <w:szCs w:val="22"/>
        </w:rPr>
        <w:t xml:space="preserve"> des prestations </w:t>
      </w:r>
      <w:r w:rsidR="00A42B1A">
        <w:rPr>
          <w:bCs w:val="0"/>
          <w:color w:val="683766"/>
          <w:sz w:val="22"/>
          <w:szCs w:val="22"/>
        </w:rPr>
        <w:t>à bons de commande</w:t>
      </w:r>
      <w:bookmarkEnd w:id="51"/>
    </w:p>
    <w:p w14:paraId="63F8FE31" w14:textId="791C8A72"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2" w:name="_Toc356146844"/>
      <w:bookmarkStart w:id="53" w:name="_Toc482699941"/>
      <w:r>
        <w:rPr>
          <w:rFonts w:asciiTheme="minorHAnsi" w:eastAsiaTheme="minorHAnsi" w:hAnsiTheme="minorHAnsi" w:cstheme="minorBidi"/>
          <w:bCs/>
          <w:color w:val="auto"/>
          <w:spacing w:val="0"/>
          <w:lang w:eastAsia="en-US"/>
        </w:rPr>
        <w:t>Les bons de commande conclus pendant la durée de validité de l’accord-cadre détermineront les délais particuliers de réalisation des prestations concernées, dans le respect des conditions de l’article R. 2162-2 du code de la commande publique.</w:t>
      </w:r>
    </w:p>
    <w:p w14:paraId="4A52A05D" w14:textId="5849C351"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4" w:name="_Hlk215821562"/>
      <w:r>
        <w:rPr>
          <w:rFonts w:asciiTheme="minorHAnsi" w:eastAsiaTheme="minorHAnsi" w:hAnsiTheme="minorHAnsi" w:cstheme="minorBidi"/>
          <w:bCs/>
          <w:color w:val="auto"/>
          <w:spacing w:val="0"/>
          <w:lang w:eastAsia="en-US"/>
        </w:rPr>
        <w:t xml:space="preserve">Le délai d’exécution court à compter de la date prescrite par le bon de commande ou, à défaut, à compter de la réception du bon de commande par le titulaire. Les commandes conclues avant le terme de l’accord-cadre doivent être menés jusqu’au terme de la mission même si l’accord-cadre se termine entre temps et dans un délai raisonnable </w:t>
      </w:r>
    </w:p>
    <w:bookmarkEnd w:id="54"/>
    <w:p w14:paraId="5EDEE6A0" w14:textId="77777777"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Pr>
          <w:rFonts w:asciiTheme="minorHAnsi" w:eastAsiaTheme="minorHAnsi" w:hAnsiTheme="minorHAnsi" w:cstheme="minorBidi"/>
          <w:bCs/>
          <w:color w:val="auto"/>
          <w:spacing w:val="0"/>
          <w:lang w:eastAsia="en-US"/>
        </w:rPr>
        <w:t>TIC</w:t>
      </w:r>
      <w:r w:rsidRPr="00F413EE">
        <w:rPr>
          <w:rFonts w:asciiTheme="minorHAnsi" w:eastAsiaTheme="minorHAnsi" w:hAnsiTheme="minorHAnsi" w:cstheme="minorBidi"/>
          <w:bCs/>
          <w:color w:val="auto"/>
          <w:spacing w:val="0"/>
          <w:lang w:eastAsia="en-US"/>
        </w:rPr>
        <w:t>.</w:t>
      </w:r>
    </w:p>
    <w:p w14:paraId="287771BC" w14:textId="04181D44" w:rsidR="001B04CD" w:rsidRPr="002336AB" w:rsidRDefault="001B04CD" w:rsidP="002336AB">
      <w:pPr>
        <w:pStyle w:val="Titre1"/>
        <w:shd w:val="clear" w:color="auto" w:fill="DC8C00"/>
        <w:contextualSpacing/>
        <w:rPr>
          <w:color w:val="FFFFFF" w:themeColor="background1"/>
        </w:rPr>
      </w:pPr>
      <w:bookmarkStart w:id="55" w:name="_Toc222243933"/>
      <w:r w:rsidRPr="002336AB">
        <w:rPr>
          <w:color w:val="FFFFFF" w:themeColor="background1"/>
        </w:rPr>
        <w:lastRenderedPageBreak/>
        <w:t xml:space="preserve">Pièces </w:t>
      </w:r>
      <w:r w:rsidR="002E2F16" w:rsidRPr="002336AB">
        <w:rPr>
          <w:color w:val="FFFFFF" w:themeColor="background1"/>
        </w:rPr>
        <w:t>contractuelles</w:t>
      </w:r>
      <w:r w:rsidRPr="002336AB">
        <w:rPr>
          <w:color w:val="FFFFFF" w:themeColor="background1"/>
        </w:rPr>
        <w:t xml:space="preserve"> d</w:t>
      </w:r>
      <w:bookmarkEnd w:id="52"/>
      <w:bookmarkEnd w:id="53"/>
      <w:r w:rsidR="00F413EE">
        <w:rPr>
          <w:color w:val="FFFFFF" w:themeColor="background1"/>
        </w:rPr>
        <w:t>e l’accord-cadre</w:t>
      </w:r>
      <w:bookmarkEnd w:id="55"/>
    </w:p>
    <w:p w14:paraId="5234ACD8" w14:textId="5C1714D1" w:rsidR="001B04CD" w:rsidRDefault="002550BB" w:rsidP="002550BB">
      <w:pPr>
        <w:pStyle w:val="NormalWeb"/>
        <w:spacing w:before="120" w:beforeAutospacing="0" w:after="120" w:afterAutospacing="0"/>
        <w:jc w:val="both"/>
        <w:rPr>
          <w:rFonts w:ascii="Calibri" w:hAnsi="Calibri"/>
          <w:bCs/>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F330C">
        <w:rPr>
          <w:rFonts w:ascii="Calibri" w:hAnsi="Calibri"/>
          <w:sz w:val="20"/>
          <w:szCs w:val="20"/>
        </w:rPr>
        <w:t>TIC</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139FE6FA" w14:textId="55915A44" w:rsidR="00A823E2" w:rsidRPr="00F13EFD" w:rsidRDefault="00A823E2" w:rsidP="002550BB">
      <w:pPr>
        <w:pStyle w:val="NormalWeb"/>
        <w:spacing w:before="120" w:beforeAutospacing="0" w:after="120" w:afterAutospacing="0"/>
        <w:jc w:val="both"/>
        <w:rPr>
          <w:rFonts w:ascii="Calibri" w:hAnsi="Calibri"/>
          <w:b/>
          <w:sz w:val="20"/>
          <w:szCs w:val="20"/>
        </w:rPr>
      </w:pPr>
      <w:r>
        <w:rPr>
          <w:rFonts w:ascii="Calibri" w:hAnsi="Calibri"/>
          <w:bCs/>
          <w:sz w:val="20"/>
          <w:szCs w:val="20"/>
        </w:rPr>
        <w:t xml:space="preserve">Pièces particulières : </w:t>
      </w:r>
    </w:p>
    <w:p w14:paraId="5B2962A7" w14:textId="0CB1D3E3" w:rsidR="002550BB" w:rsidRPr="00F13EFD" w:rsidRDefault="00022130"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w:t>
      </w:r>
      <w:r w:rsidR="002550BB" w:rsidRPr="00F13EFD">
        <w:rPr>
          <w:rFonts w:asciiTheme="minorHAnsi" w:hAnsiTheme="minorHAnsi"/>
          <w:sz w:val="20"/>
          <w:szCs w:val="20"/>
        </w:rPr>
        <w:t>Acte d’Engagement (AE) et</w:t>
      </w:r>
      <w:r w:rsidRPr="00F13EFD">
        <w:rPr>
          <w:rFonts w:asciiTheme="minorHAnsi" w:hAnsiTheme="minorHAnsi"/>
          <w:sz w:val="20"/>
          <w:szCs w:val="20"/>
        </w:rPr>
        <w:t xml:space="preserve"> </w:t>
      </w:r>
      <w:r w:rsidR="002550BB" w:rsidRPr="00F13EFD">
        <w:rPr>
          <w:rFonts w:asciiTheme="minorHAnsi" w:hAnsiTheme="minorHAnsi"/>
          <w:sz w:val="20"/>
          <w:szCs w:val="20"/>
        </w:rPr>
        <w:t>Cahier des Clauses Administratives Particulières (CCAP</w:t>
      </w:r>
      <w:r w:rsidR="001B04CD" w:rsidRPr="00F13EFD">
        <w:rPr>
          <w:rFonts w:asciiTheme="minorHAnsi" w:hAnsiTheme="minorHAnsi"/>
          <w:sz w:val="20"/>
          <w:szCs w:val="20"/>
        </w:rPr>
        <w:t xml:space="preserve">) et ses </w:t>
      </w:r>
      <w:r w:rsidR="001B04CD" w:rsidRPr="00A823E2">
        <w:rPr>
          <w:rFonts w:asciiTheme="minorHAnsi" w:hAnsiTheme="minorHAnsi"/>
          <w:b/>
          <w:bCs/>
          <w:sz w:val="20"/>
          <w:szCs w:val="20"/>
        </w:rPr>
        <w:t>annexes</w:t>
      </w:r>
      <w:r w:rsidR="002550BB" w:rsidRPr="00F13EFD">
        <w:rPr>
          <w:rFonts w:asciiTheme="minorHAnsi" w:hAnsiTheme="minorHAnsi"/>
          <w:sz w:val="20"/>
          <w:szCs w:val="20"/>
        </w:rPr>
        <w:t xml:space="preserve">, dans </w:t>
      </w:r>
      <w:r w:rsidR="00A823E2">
        <w:rPr>
          <w:rFonts w:asciiTheme="minorHAnsi" w:hAnsiTheme="minorHAnsi"/>
          <w:sz w:val="20"/>
          <w:szCs w:val="20"/>
        </w:rPr>
        <w:t>leur</w:t>
      </w:r>
      <w:r w:rsidR="002550BB" w:rsidRPr="00F13EFD">
        <w:rPr>
          <w:rFonts w:asciiTheme="minorHAnsi" w:hAnsiTheme="minorHAnsi"/>
          <w:sz w:val="20"/>
          <w:szCs w:val="20"/>
        </w:rPr>
        <w:t xml:space="preserve"> version résultant des dernières modifications éventuelles (mise au point, avenant etc.) ; </w:t>
      </w:r>
      <w:r w:rsidR="00097A50" w:rsidRPr="00F13EFD">
        <w:rPr>
          <w:rFonts w:asciiTheme="minorHAnsi" w:hAnsiTheme="minorHAnsi"/>
          <w:sz w:val="20"/>
          <w:szCs w:val="20"/>
        </w:rPr>
        <w:t xml:space="preserve"> </w:t>
      </w:r>
    </w:p>
    <w:p w14:paraId="2D496696" w14:textId="6AD45D8D" w:rsidR="002550BB" w:rsidRDefault="00A823E2" w:rsidP="00A019C0">
      <w:pPr>
        <w:pStyle w:val="NormalWeb"/>
        <w:numPr>
          <w:ilvl w:val="0"/>
          <w:numId w:val="14"/>
        </w:numPr>
        <w:spacing w:before="120" w:beforeAutospacing="0" w:after="120" w:afterAutospacing="0"/>
        <w:jc w:val="both"/>
        <w:rPr>
          <w:rFonts w:asciiTheme="minorHAnsi" w:hAnsiTheme="minorHAnsi"/>
          <w:sz w:val="20"/>
          <w:szCs w:val="20"/>
        </w:rPr>
      </w:pPr>
      <w:bookmarkStart w:id="56" w:name="_Hlk155625793"/>
      <w:r>
        <w:rPr>
          <w:rFonts w:asciiTheme="minorHAnsi" w:hAnsiTheme="minorHAnsi"/>
          <w:sz w:val="20"/>
          <w:szCs w:val="20"/>
        </w:rPr>
        <w:t>Le</w:t>
      </w:r>
      <w:r w:rsidR="002550BB" w:rsidRPr="00F13EFD">
        <w:rPr>
          <w:rFonts w:asciiTheme="minorHAnsi" w:hAnsiTheme="minorHAnsi"/>
          <w:sz w:val="20"/>
          <w:szCs w:val="20"/>
        </w:rPr>
        <w:t xml:space="preserve"> </w:t>
      </w:r>
      <w:r w:rsidR="002550BB" w:rsidRPr="00F13EFD">
        <w:rPr>
          <w:rFonts w:asciiTheme="minorHAnsi" w:hAnsiTheme="minorHAnsi"/>
          <w:b/>
          <w:bCs/>
          <w:sz w:val="20"/>
          <w:szCs w:val="20"/>
        </w:rPr>
        <w:t>cahier des Clauses Techniques Particulières</w:t>
      </w:r>
      <w:r w:rsidR="002550BB" w:rsidRPr="00F13EFD">
        <w:rPr>
          <w:rFonts w:asciiTheme="minorHAnsi" w:hAnsiTheme="minorHAnsi"/>
          <w:sz w:val="20"/>
          <w:szCs w:val="20"/>
        </w:rPr>
        <w:t xml:space="preserve"> de l’accord-cadre (CCTP)</w:t>
      </w:r>
      <w:r w:rsidR="00A96A79">
        <w:rPr>
          <w:rFonts w:asciiTheme="minorHAnsi" w:hAnsiTheme="minorHAnsi"/>
          <w:sz w:val="20"/>
          <w:szCs w:val="20"/>
        </w:rPr>
        <w:t xml:space="preserve"> </w:t>
      </w:r>
      <w:r w:rsidR="002550BB" w:rsidRPr="00F13EFD">
        <w:rPr>
          <w:rFonts w:asciiTheme="minorHAnsi" w:hAnsiTheme="minorHAnsi"/>
          <w:sz w:val="20"/>
          <w:szCs w:val="20"/>
        </w:rPr>
        <w:t xml:space="preserve">et l’ensemble des pièces techniques fournies dans le dossier de consultation ; </w:t>
      </w:r>
    </w:p>
    <w:p w14:paraId="1CD16DEC" w14:textId="05B30A9D" w:rsidR="00A823E2" w:rsidRPr="00F13EFD" w:rsidRDefault="00A823E2" w:rsidP="00A019C0">
      <w:pPr>
        <w:pStyle w:val="NormalWeb"/>
        <w:numPr>
          <w:ilvl w:val="0"/>
          <w:numId w:val="14"/>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Le </w:t>
      </w:r>
      <w:r w:rsidRPr="00A823E2">
        <w:rPr>
          <w:rFonts w:asciiTheme="minorHAnsi" w:hAnsiTheme="minorHAnsi"/>
          <w:b/>
          <w:bCs/>
          <w:sz w:val="20"/>
          <w:szCs w:val="20"/>
        </w:rPr>
        <w:t>questionnaire RGPD </w:t>
      </w:r>
      <w:r>
        <w:rPr>
          <w:rFonts w:asciiTheme="minorHAnsi" w:hAnsiTheme="minorHAnsi"/>
          <w:sz w:val="20"/>
          <w:szCs w:val="20"/>
        </w:rPr>
        <w:t xml:space="preserve">renseigné par le titulaire ; </w:t>
      </w:r>
    </w:p>
    <w:p w14:paraId="279E7B4E" w14:textId="77777777"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w:t>
      </w:r>
      <w:r w:rsidRPr="00A823E2">
        <w:rPr>
          <w:rFonts w:asciiTheme="minorHAnsi" w:hAnsiTheme="minorHAnsi"/>
          <w:b/>
          <w:bCs/>
          <w:sz w:val="20"/>
          <w:szCs w:val="20"/>
        </w:rPr>
        <w:t>éventuelles informations complémentaires</w:t>
      </w:r>
      <w:r w:rsidRPr="00F13EFD">
        <w:rPr>
          <w:rFonts w:asciiTheme="minorHAnsi" w:hAnsiTheme="minorHAnsi"/>
          <w:sz w:val="20"/>
          <w:szCs w:val="20"/>
        </w:rPr>
        <w:t xml:space="preserve"> fournies aux candidats en cours de consultation (modifications de détail au dossier de consultation et réponses aux questions posées par les candidats) ;</w:t>
      </w:r>
      <w:bookmarkEnd w:id="56"/>
    </w:p>
    <w:p w14:paraId="26A896CF" w14:textId="3F8DE284" w:rsidR="002550BB"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sidR="00A42B1A">
        <w:rPr>
          <w:rFonts w:asciiTheme="minorHAnsi" w:hAnsiTheme="minorHAnsi"/>
          <w:b/>
          <w:bCs/>
          <w:sz w:val="20"/>
          <w:szCs w:val="20"/>
        </w:rPr>
        <w:t>B</w:t>
      </w:r>
      <w:r w:rsidR="00097A50" w:rsidRPr="00F13EFD">
        <w:rPr>
          <w:rFonts w:asciiTheme="minorHAnsi" w:hAnsiTheme="minorHAnsi"/>
          <w:b/>
          <w:bCs/>
          <w:sz w:val="20"/>
          <w:szCs w:val="20"/>
        </w:rPr>
        <w:t>ordereau des Prix Unitaires</w:t>
      </w:r>
      <w:r w:rsidR="00097A50" w:rsidRPr="00F13EFD">
        <w:rPr>
          <w:rFonts w:asciiTheme="minorHAnsi" w:hAnsiTheme="minorHAnsi"/>
          <w:sz w:val="20"/>
          <w:szCs w:val="20"/>
        </w:rPr>
        <w:t xml:space="preserve"> (BPU</w:t>
      </w:r>
      <w:r w:rsidR="005A18CB" w:rsidRPr="00F13EFD">
        <w:rPr>
          <w:rFonts w:asciiTheme="minorHAnsi" w:hAnsiTheme="minorHAnsi"/>
          <w:sz w:val="20"/>
          <w:szCs w:val="20"/>
        </w:rPr>
        <w:t>)</w:t>
      </w:r>
      <w:r w:rsidR="00A823E2">
        <w:rPr>
          <w:rFonts w:asciiTheme="minorHAnsi" w:hAnsiTheme="minorHAnsi"/>
          <w:sz w:val="20"/>
          <w:szCs w:val="20"/>
        </w:rPr>
        <w:t xml:space="preserve"> </w:t>
      </w:r>
      <w:r w:rsidRPr="00F13EFD">
        <w:rPr>
          <w:rFonts w:asciiTheme="minorHAnsi" w:hAnsiTheme="minorHAnsi"/>
          <w:sz w:val="20"/>
          <w:szCs w:val="20"/>
        </w:rPr>
        <w:t xml:space="preserve">; </w:t>
      </w:r>
    </w:p>
    <w:p w14:paraId="59049E10" w14:textId="03B41ACF" w:rsidR="0032351E" w:rsidRPr="00D25922" w:rsidRDefault="00A823E2" w:rsidP="00A019C0">
      <w:pPr>
        <w:pStyle w:val="NormalWeb"/>
        <w:numPr>
          <w:ilvl w:val="0"/>
          <w:numId w:val="14"/>
        </w:numPr>
        <w:spacing w:before="120" w:beforeAutospacing="0" w:after="120" w:afterAutospacing="0"/>
        <w:jc w:val="both"/>
        <w:rPr>
          <w:rFonts w:asciiTheme="minorHAnsi" w:hAnsiTheme="minorHAnsi"/>
          <w:sz w:val="20"/>
          <w:szCs w:val="20"/>
        </w:rPr>
      </w:pPr>
      <w:bookmarkStart w:id="57" w:name="_Hlk222136239"/>
      <w:r>
        <w:rPr>
          <w:rFonts w:asciiTheme="minorHAnsi" w:hAnsiTheme="minorHAnsi"/>
          <w:b/>
          <w:bCs/>
          <w:sz w:val="20"/>
          <w:szCs w:val="20"/>
        </w:rPr>
        <w:t xml:space="preserve">Le cadre de réponse technique </w:t>
      </w:r>
      <w:r>
        <w:rPr>
          <w:rFonts w:asciiTheme="minorHAnsi" w:hAnsiTheme="minorHAnsi"/>
          <w:sz w:val="20"/>
          <w:szCs w:val="20"/>
        </w:rPr>
        <w:t>(CRT)</w:t>
      </w:r>
      <w:r w:rsidR="002550BB" w:rsidRPr="00D25922">
        <w:rPr>
          <w:rFonts w:asciiTheme="minorHAnsi" w:hAnsiTheme="minorHAnsi"/>
          <w:sz w:val="20"/>
          <w:szCs w:val="20"/>
        </w:rPr>
        <w:t xml:space="preserve"> du titulaire</w:t>
      </w:r>
      <w:r>
        <w:rPr>
          <w:rFonts w:asciiTheme="minorHAnsi" w:hAnsiTheme="minorHAnsi"/>
          <w:sz w:val="20"/>
          <w:szCs w:val="20"/>
        </w:rPr>
        <w:t xml:space="preserve"> </w:t>
      </w:r>
      <w:r w:rsidR="002550BB" w:rsidRPr="00D25922">
        <w:rPr>
          <w:rFonts w:asciiTheme="minorHAnsi" w:hAnsiTheme="minorHAnsi"/>
          <w:sz w:val="20"/>
          <w:szCs w:val="20"/>
        </w:rPr>
        <w:t xml:space="preserve">; </w:t>
      </w:r>
    </w:p>
    <w:bookmarkEnd w:id="57"/>
    <w:p w14:paraId="01F14CA2" w14:textId="2F10DB2D" w:rsidR="003D6351" w:rsidRPr="00F13EFD" w:rsidRDefault="003D6351" w:rsidP="00A019C0">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 </w:t>
      </w:r>
      <w:r w:rsidRPr="003D6351">
        <w:rPr>
          <w:rFonts w:asciiTheme="minorHAnsi" w:hAnsiTheme="minorHAnsi"/>
          <w:sz w:val="20"/>
          <w:szCs w:val="20"/>
        </w:rPr>
        <w:t>;</w:t>
      </w:r>
    </w:p>
    <w:p w14:paraId="0A768417" w14:textId="77777777"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bookmarkStart w:id="58" w:name="_Hlk222136221"/>
      <w:r w:rsidRPr="00F13EFD">
        <w:rPr>
          <w:rFonts w:asciiTheme="minorHAnsi" w:hAnsiTheme="minorHAnsi"/>
          <w:sz w:val="20"/>
          <w:szCs w:val="20"/>
        </w:rPr>
        <w:t xml:space="preserve">Les actes spéciaux de sous-traitance et leurs avenants, postérieurs à la notification de l’accord-cadre. </w:t>
      </w:r>
    </w:p>
    <w:bookmarkEnd w:id="58"/>
    <w:p w14:paraId="06902401" w14:textId="2EDF2CAC" w:rsidR="00A823E2" w:rsidRDefault="00A823E2" w:rsidP="002550BB">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Pièces générales : </w:t>
      </w:r>
    </w:p>
    <w:p w14:paraId="619A1935" w14:textId="77777777" w:rsidR="00A823E2" w:rsidRPr="009C506D" w:rsidRDefault="00A823E2" w:rsidP="00A823E2">
      <w:pPr>
        <w:pStyle w:val="NormalWeb"/>
        <w:numPr>
          <w:ilvl w:val="0"/>
          <w:numId w:val="14"/>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AF330C">
        <w:rPr>
          <w:rFonts w:asciiTheme="minorHAnsi" w:hAnsiTheme="minorHAnsi"/>
          <w:b/>
          <w:bCs/>
          <w:sz w:val="20"/>
          <w:szCs w:val="20"/>
        </w:rPr>
        <w:t>Cahier des Clauses Administratives Générales applicable aux marchés publics de techniques de l'information et de la communication</w:t>
      </w:r>
      <w:r w:rsidRPr="00AF330C">
        <w:rPr>
          <w:rFonts w:asciiTheme="minorHAnsi" w:hAnsiTheme="minorHAnsi"/>
          <w:sz w:val="20"/>
          <w:szCs w:val="20"/>
        </w:rPr>
        <w:t xml:space="preserve"> (CCAG-TIC) approuvé par l'arrêté du 30 mars 2021</w:t>
      </w:r>
      <w:r>
        <w:rPr>
          <w:rFonts w:asciiTheme="minorHAnsi" w:hAnsiTheme="minorHAnsi"/>
          <w:sz w:val="20"/>
          <w:szCs w:val="20"/>
        </w:rPr>
        <w:t> ;</w:t>
      </w:r>
    </w:p>
    <w:p w14:paraId="001E3830" w14:textId="548B1AD3" w:rsidR="002550BB" w:rsidRPr="004F184E" w:rsidRDefault="00A823E2" w:rsidP="002550BB">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Le cas échéant, i</w:t>
      </w:r>
      <w:r w:rsidR="004F184E" w:rsidRPr="004F184E">
        <w:rPr>
          <w:rFonts w:asciiTheme="minorHAnsi" w:hAnsiTheme="minorHAnsi"/>
          <w:sz w:val="20"/>
          <w:szCs w:val="20"/>
        </w:rPr>
        <w:t xml:space="preserve">l est précisé que le DQE n’a pas de valeur contractuelle. </w:t>
      </w:r>
    </w:p>
    <w:p w14:paraId="4F651562" w14:textId="77777777" w:rsidR="00F2004B" w:rsidRPr="00A823E2" w:rsidRDefault="00F2004B" w:rsidP="002550BB">
      <w:pPr>
        <w:pStyle w:val="NormalWeb"/>
        <w:spacing w:before="120" w:beforeAutospacing="0" w:after="120" w:afterAutospacing="0"/>
        <w:jc w:val="both"/>
        <w:rPr>
          <w:rFonts w:asciiTheme="minorHAnsi" w:hAnsiTheme="minorHAnsi"/>
          <w:b/>
          <w:bCs/>
          <w:sz w:val="20"/>
          <w:szCs w:val="20"/>
        </w:rPr>
      </w:pPr>
      <w:r w:rsidRPr="00A823E2">
        <w:rPr>
          <w:rFonts w:asciiTheme="minorHAnsi" w:hAnsiTheme="minorHAnsi"/>
          <w:b/>
          <w:bCs/>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w:t>
      </w:r>
      <w:r w:rsidR="00926FAB" w:rsidRPr="00A823E2">
        <w:rPr>
          <w:rFonts w:asciiTheme="minorHAnsi" w:hAnsiTheme="minorHAnsi"/>
          <w:b/>
          <w:bCs/>
          <w:sz w:val="20"/>
          <w:szCs w:val="20"/>
        </w:rPr>
        <w:t>e priorité des pièces du marché</w:t>
      </w:r>
      <w:r w:rsidRPr="00A823E2">
        <w:rPr>
          <w:rFonts w:asciiTheme="minorHAnsi" w:hAnsiTheme="minorHAnsi"/>
          <w:b/>
          <w:bCs/>
          <w:sz w:val="20"/>
          <w:szCs w:val="20"/>
        </w:rPr>
        <w:t>, est d'application générale, sauf dans les cas suivants :</w:t>
      </w:r>
    </w:p>
    <w:p w14:paraId="2E97A89A"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0B2BDA84"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2C6AA0C4" w14:textId="76F17DDC"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w:t>
      </w:r>
      <w:r w:rsidR="00E20E3E">
        <w:rPr>
          <w:rFonts w:asciiTheme="minorHAnsi" w:hAnsiTheme="minorHAnsi"/>
          <w:sz w:val="20"/>
          <w:szCs w:val="20"/>
        </w:rPr>
        <w:t>l’acheteur</w:t>
      </w:r>
      <w:r w:rsidRPr="00F13EFD">
        <w:rPr>
          <w:rFonts w:asciiTheme="minorHAnsi" w:hAnsiTheme="minorHAnsi"/>
          <w:sz w:val="20"/>
          <w:szCs w:val="20"/>
        </w:rPr>
        <w:t xml:space="preserve"> et le Titulaire.</w:t>
      </w:r>
    </w:p>
    <w:p w14:paraId="1CED9EC0"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62EFEA8A" w14:textId="25BDF9A5" w:rsidR="00DD39EF" w:rsidRPr="002336AB" w:rsidRDefault="00DD39EF" w:rsidP="002336AB">
      <w:pPr>
        <w:pStyle w:val="Titre1"/>
        <w:shd w:val="clear" w:color="auto" w:fill="DC8C00"/>
        <w:contextualSpacing/>
        <w:rPr>
          <w:color w:val="FFFFFF" w:themeColor="background1"/>
        </w:rPr>
      </w:pPr>
      <w:bookmarkStart w:id="59" w:name="_Toc222243934"/>
      <w:r w:rsidRPr="002336AB">
        <w:rPr>
          <w:color w:val="FFFFFF" w:themeColor="background1"/>
        </w:rPr>
        <w:t>Prix</w:t>
      </w:r>
      <w:bookmarkEnd w:id="59"/>
      <w:r w:rsidRPr="002336AB">
        <w:rPr>
          <w:color w:val="FFFFFF" w:themeColor="background1"/>
        </w:rPr>
        <w:t xml:space="preserve">  </w:t>
      </w:r>
    </w:p>
    <w:p w14:paraId="29059237"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326782AB" w14:textId="314CEDDA" w:rsidR="0097379E"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60" w:name="_Toc222243935"/>
      <w:r w:rsidRPr="004F184E">
        <w:rPr>
          <w:bCs w:val="0"/>
          <w:color w:val="683766"/>
          <w:sz w:val="22"/>
          <w:szCs w:val="22"/>
        </w:rPr>
        <w:t>Forme du prix</w:t>
      </w:r>
      <w:bookmarkEnd w:id="60"/>
      <w:r w:rsidR="004F184E">
        <w:rPr>
          <w:bCs w:val="0"/>
          <w:color w:val="683766"/>
          <w:sz w:val="22"/>
          <w:szCs w:val="22"/>
        </w:rPr>
        <w:t> </w:t>
      </w:r>
    </w:p>
    <w:p w14:paraId="498EAB3A" w14:textId="6A0203A4" w:rsidR="00AF330C" w:rsidRPr="00AF330C" w:rsidRDefault="00AF330C" w:rsidP="00AF330C">
      <w:pPr>
        <w:rPr>
          <w:bCs/>
          <w:sz w:val="20"/>
          <w:szCs w:val="20"/>
        </w:rPr>
      </w:pPr>
      <w:r w:rsidRPr="00AF330C">
        <w:rPr>
          <w:bCs/>
          <w:sz w:val="20"/>
          <w:szCs w:val="20"/>
        </w:rPr>
        <w:t>L’accord-cadre est passé à prix unitaire</w:t>
      </w:r>
      <w:r>
        <w:rPr>
          <w:bCs/>
          <w:sz w:val="20"/>
          <w:szCs w:val="20"/>
        </w:rPr>
        <w:t>.</w:t>
      </w:r>
    </w:p>
    <w:p w14:paraId="662917E2" w14:textId="7C8FC438" w:rsidR="0097379E" w:rsidRPr="003B5B95"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61" w:name="_Toc222243936"/>
      <w:r w:rsidRPr="003B5B95">
        <w:rPr>
          <w:bCs w:val="0"/>
          <w:color w:val="683766"/>
          <w:sz w:val="22"/>
          <w:szCs w:val="22"/>
        </w:rPr>
        <w:t>Montant de l’offre</w:t>
      </w:r>
      <w:bookmarkEnd w:id="61"/>
    </w:p>
    <w:p w14:paraId="10CD4F21" w14:textId="62CCBCC1"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L’offre de prix pour l’accord-cadre est constituée par le Bordereau des Prix Unitaires (BPU)</w:t>
      </w:r>
      <w:r>
        <w:rPr>
          <w:rFonts w:asciiTheme="minorHAnsi" w:eastAsiaTheme="minorHAnsi" w:hAnsiTheme="minorHAnsi" w:cstheme="minorBidi"/>
          <w:bCs/>
          <w:color w:val="auto"/>
          <w:spacing w:val="0"/>
          <w:lang w:eastAsia="en-US"/>
        </w:rPr>
        <w:t xml:space="preserve"> du lot 1</w:t>
      </w:r>
      <w:r w:rsidRPr="00AF330C">
        <w:rPr>
          <w:rFonts w:asciiTheme="minorHAnsi" w:eastAsiaTheme="minorHAnsi" w:hAnsiTheme="minorHAnsi" w:cstheme="minorBidi"/>
          <w:bCs/>
          <w:color w:val="auto"/>
          <w:spacing w:val="0"/>
          <w:lang w:eastAsia="en-US"/>
        </w:rPr>
        <w:t xml:space="preserve"> ci-annexé. </w:t>
      </w:r>
    </w:p>
    <w:p w14:paraId="2F6171F1" w14:textId="77777777"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30E08022" w14:textId="0AC5AC1A" w:rsidR="00AF330C" w:rsidRPr="00AF330C" w:rsidRDefault="00AF330C" w:rsidP="00AF330C">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Accord-cadre à bons de commande, sans montant minimum et avec un </w:t>
      </w:r>
      <w:r w:rsidRPr="00AF330C">
        <w:rPr>
          <w:rFonts w:asciiTheme="minorHAnsi" w:eastAsiaTheme="minorHAnsi" w:hAnsiTheme="minorHAnsi" w:cstheme="minorBidi"/>
          <w:b/>
          <w:spacing w:val="0"/>
          <w:lang w:eastAsia="en-US"/>
        </w:rPr>
        <w:t>montant maximum</w:t>
      </w:r>
      <w:r w:rsidRPr="00AF330C">
        <w:rPr>
          <w:rFonts w:asciiTheme="minorHAnsi" w:eastAsiaTheme="minorHAnsi" w:hAnsiTheme="minorHAnsi" w:cstheme="minorBidi"/>
          <w:bCs/>
          <w:spacing w:val="0"/>
          <w:lang w:eastAsia="en-US"/>
        </w:rPr>
        <w:t xml:space="preserve"> fixé en valeur </w:t>
      </w:r>
    </w:p>
    <w:p w14:paraId="2FA072DE" w14:textId="77777777" w:rsidR="00AF330C" w:rsidRPr="00AF330C" w:rsidRDefault="00AF330C" w:rsidP="00AF330C">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AF330C">
        <w:rPr>
          <w:rFonts w:asciiTheme="minorHAnsi" w:eastAsiaTheme="minorHAnsi" w:hAnsiTheme="minorHAnsi" w:cstheme="minorBidi"/>
          <w:bCs/>
          <w:spacing w:val="0"/>
          <w:lang w:eastAsia="en-US"/>
        </w:rPr>
        <w:t xml:space="preserve">Le prestataire est rémunéré par le pouvoir adjudicateur sur les bases suivantes : </w:t>
      </w:r>
      <w:r w:rsidRPr="00AF330C">
        <w:rPr>
          <w:rFonts w:asciiTheme="minorHAnsi" w:eastAsiaTheme="minorHAnsi" w:hAnsiTheme="minorHAnsi" w:cstheme="minorBidi"/>
          <w:bCs/>
          <w:i/>
          <w:iCs/>
          <w:spacing w:val="0"/>
          <w:lang w:eastAsia="en-US"/>
        </w:rPr>
        <w:t xml:space="preserve">Application des prix unitaires tels que fixés dans le bordereau de prix ci-annexé aux quantités de prestations commandées par le pouvoir </w:t>
      </w:r>
      <w:r w:rsidRPr="00AF330C">
        <w:rPr>
          <w:rFonts w:asciiTheme="minorHAnsi" w:eastAsiaTheme="minorHAnsi" w:hAnsiTheme="minorHAnsi" w:cstheme="minorBidi"/>
          <w:bCs/>
          <w:i/>
          <w:iCs/>
          <w:spacing w:val="0"/>
          <w:lang w:eastAsia="en-US"/>
        </w:rPr>
        <w:lastRenderedPageBreak/>
        <w:t>adjudicateur et application du devis détaillé de l’entreprise dans le cadre de prestations hors BPU.</w:t>
      </w:r>
    </w:p>
    <w:p w14:paraId="3963724F" w14:textId="78BCCC74" w:rsidR="00AF330C" w:rsidRPr="00AF330C" w:rsidRDefault="00AF330C" w:rsidP="00AF330C">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bookmarkStart w:id="62" w:name="_Hlk89271785"/>
      <w:r w:rsidRPr="00AF330C">
        <w:rPr>
          <w:rFonts w:asciiTheme="minorHAnsi" w:eastAsiaTheme="minorHAnsi" w:hAnsiTheme="minorHAnsi" w:cstheme="minorBidi"/>
          <w:b/>
          <w:spacing w:val="0"/>
          <w:lang w:eastAsia="en-US"/>
        </w:rPr>
        <w:t xml:space="preserve">Montant maximum par an : </w:t>
      </w:r>
      <w:r w:rsidR="00F933EE">
        <w:rPr>
          <w:rFonts w:asciiTheme="minorHAnsi" w:eastAsiaTheme="minorHAnsi" w:hAnsiTheme="minorHAnsi" w:cstheme="minorBidi"/>
          <w:b/>
          <w:spacing w:val="0"/>
          <w:lang w:eastAsia="en-US"/>
        </w:rPr>
        <w:t>8</w:t>
      </w:r>
      <w:r w:rsidRPr="00AF330C">
        <w:rPr>
          <w:rFonts w:asciiTheme="minorHAnsi" w:eastAsiaTheme="minorHAnsi" w:hAnsiTheme="minorHAnsi" w:cstheme="minorBidi"/>
          <w:b/>
          <w:spacing w:val="0"/>
          <w:lang w:eastAsia="en-US"/>
        </w:rPr>
        <w:t xml:space="preserve">0 000 euros HT par an </w:t>
      </w:r>
      <w:r w:rsidRPr="00AF330C">
        <w:rPr>
          <w:rFonts w:asciiTheme="minorHAnsi" w:eastAsiaTheme="minorHAnsi" w:hAnsiTheme="minorHAnsi" w:cstheme="minorBidi"/>
          <w:bCs/>
          <w:spacing w:val="0"/>
          <w:lang w:eastAsia="en-US"/>
        </w:rPr>
        <w:t xml:space="preserve">(soit un montant total maximum de </w:t>
      </w:r>
      <w:r w:rsidR="007F5E00">
        <w:rPr>
          <w:rFonts w:asciiTheme="minorHAnsi" w:eastAsiaTheme="minorHAnsi" w:hAnsiTheme="minorHAnsi" w:cstheme="minorBidi"/>
          <w:bCs/>
          <w:spacing w:val="0"/>
          <w:lang w:eastAsia="en-US"/>
        </w:rPr>
        <w:t>3</w:t>
      </w:r>
      <w:r w:rsidR="00F933EE">
        <w:rPr>
          <w:rFonts w:asciiTheme="minorHAnsi" w:eastAsiaTheme="minorHAnsi" w:hAnsiTheme="minorHAnsi" w:cstheme="minorBidi"/>
          <w:bCs/>
          <w:spacing w:val="0"/>
          <w:lang w:eastAsia="en-US"/>
        </w:rPr>
        <w:t>2</w:t>
      </w:r>
      <w:r w:rsidR="007F5E00">
        <w:rPr>
          <w:rFonts w:asciiTheme="minorHAnsi" w:eastAsiaTheme="minorHAnsi" w:hAnsiTheme="minorHAnsi" w:cstheme="minorBidi"/>
          <w:bCs/>
          <w:spacing w:val="0"/>
          <w:lang w:eastAsia="en-US"/>
        </w:rPr>
        <w:t>0</w:t>
      </w:r>
      <w:r w:rsidRPr="00AF330C">
        <w:rPr>
          <w:rFonts w:asciiTheme="minorHAnsi" w:eastAsiaTheme="minorHAnsi" w:hAnsiTheme="minorHAnsi" w:cstheme="minorBidi"/>
          <w:bCs/>
          <w:spacing w:val="0"/>
          <w:lang w:eastAsia="en-US"/>
        </w:rPr>
        <w:t> 000 euros HT pour la durée total</w:t>
      </w:r>
      <w:r w:rsidR="00F933EE">
        <w:rPr>
          <w:rFonts w:asciiTheme="minorHAnsi" w:eastAsiaTheme="minorHAnsi" w:hAnsiTheme="minorHAnsi" w:cstheme="minorBidi"/>
          <w:bCs/>
          <w:spacing w:val="0"/>
          <w:lang w:eastAsia="en-US"/>
        </w:rPr>
        <w:t>e</w:t>
      </w:r>
      <w:r w:rsidRPr="00AF330C">
        <w:rPr>
          <w:rFonts w:asciiTheme="minorHAnsi" w:eastAsiaTheme="minorHAnsi" w:hAnsiTheme="minorHAnsi" w:cstheme="minorBidi"/>
          <w:bCs/>
          <w:spacing w:val="0"/>
          <w:lang w:eastAsia="en-US"/>
        </w:rPr>
        <w:t xml:space="preserve"> de l’accord-cadre). </w:t>
      </w:r>
    </w:p>
    <w:bookmarkEnd w:id="62"/>
    <w:p w14:paraId="37251B5D" w14:textId="77777777" w:rsidR="00AF330C" w:rsidRPr="00AF330C" w:rsidRDefault="00AF330C" w:rsidP="00AF330C">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Le bordereau de prix identifie les prix établis sur la base du CCTP. </w:t>
      </w:r>
    </w:p>
    <w:p w14:paraId="25979062" w14:textId="77777777" w:rsidR="00AF330C" w:rsidRPr="00AF330C" w:rsidRDefault="00AF330C" w:rsidP="00AF330C">
      <w:pPr>
        <w:pStyle w:val="NormalWeb"/>
        <w:spacing w:before="0" w:beforeAutospacing="0" w:after="0" w:afterAutospacing="0"/>
        <w:contextualSpacing/>
        <w:jc w:val="both"/>
        <w:rPr>
          <w:rFonts w:asciiTheme="minorHAnsi" w:eastAsiaTheme="minorHAnsi" w:hAnsiTheme="minorHAnsi" w:cstheme="minorBidi"/>
          <w:bCs/>
          <w:sz w:val="20"/>
          <w:szCs w:val="20"/>
          <w:lang w:eastAsia="en-US"/>
        </w:rPr>
      </w:pPr>
    </w:p>
    <w:p w14:paraId="292760C0" w14:textId="12C14D1A" w:rsidR="001467E1" w:rsidRPr="00AA192D" w:rsidRDefault="00AF330C" w:rsidP="00AA192D">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AF330C">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p>
    <w:p w14:paraId="6FD030CE" w14:textId="495C5C7A" w:rsidR="0097379E" w:rsidRPr="00E117C6"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63" w:name="_Toc125273000"/>
      <w:bookmarkStart w:id="64" w:name="_Toc221004748"/>
      <w:bookmarkStart w:id="65" w:name="_Toc248736085"/>
      <w:bookmarkStart w:id="66" w:name="_Toc89956338"/>
      <w:bookmarkStart w:id="67" w:name="_Toc222243937"/>
      <w:r w:rsidRPr="00E117C6">
        <w:rPr>
          <w:bCs w:val="0"/>
          <w:color w:val="683766"/>
          <w:sz w:val="22"/>
          <w:szCs w:val="22"/>
        </w:rPr>
        <w:t>Contenu des prix</w:t>
      </w:r>
      <w:bookmarkEnd w:id="63"/>
      <w:bookmarkEnd w:id="64"/>
      <w:bookmarkEnd w:id="65"/>
      <w:bookmarkEnd w:id="66"/>
      <w:bookmarkEnd w:id="67"/>
    </w:p>
    <w:p w14:paraId="20ED4D64" w14:textId="32B9BAC4"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68" w:name="_Toc248474506"/>
      <w:bookmarkStart w:id="69"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w:t>
      </w:r>
      <w:r w:rsidR="007F5E00">
        <w:rPr>
          <w:rFonts w:asciiTheme="minorHAnsi" w:eastAsiaTheme="minorEastAsia" w:hAnsiTheme="minorHAnsi" w:cstheme="minorBidi"/>
          <w:color w:val="auto"/>
          <w:spacing w:val="0"/>
          <w:lang w:eastAsia="en-US"/>
        </w:rPr>
        <w:t>.</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7DD75AC2"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w:t>
      </w:r>
      <w:r w:rsidR="007F5E00">
        <w:rPr>
          <w:rFonts w:asciiTheme="minorHAnsi" w:eastAsiaTheme="minorHAnsi" w:hAnsiTheme="minorHAnsi" w:cstheme="minorBidi"/>
          <w:bCs/>
          <w:color w:val="auto"/>
          <w:spacing w:val="0"/>
          <w:lang w:eastAsia="en-US"/>
        </w:rPr>
        <w:t>TIC</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68"/>
    <w:bookmarkEnd w:id="69"/>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70" w:name="_Toc356146853"/>
      <w:bookmarkStart w:id="71" w:name="_Toc482699950"/>
      <w:bookmarkStart w:id="72" w:name="_Toc222243938"/>
      <w:r w:rsidRPr="002336AB">
        <w:rPr>
          <w:color w:val="FFFFFF" w:themeColor="background1"/>
        </w:rPr>
        <w:t>Variation des prix</w:t>
      </w:r>
      <w:bookmarkEnd w:id="70"/>
      <w:bookmarkEnd w:id="71"/>
      <w:bookmarkEnd w:id="72"/>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73" w:name="_Toc222243939"/>
      <w:r w:rsidRPr="00E117C6">
        <w:rPr>
          <w:bCs w:val="0"/>
          <w:color w:val="683766"/>
          <w:sz w:val="22"/>
          <w:szCs w:val="22"/>
        </w:rPr>
        <w:t>Mois d’établissement des prix</w:t>
      </w:r>
      <w:bookmarkEnd w:id="73"/>
      <w:r w:rsidRPr="00E117C6">
        <w:rPr>
          <w:bCs w:val="0"/>
          <w:color w:val="683766"/>
          <w:sz w:val="22"/>
          <w:szCs w:val="22"/>
        </w:rPr>
        <w:t xml:space="preserve"> </w:t>
      </w:r>
    </w:p>
    <w:p w14:paraId="53F5C532" w14:textId="49C1CE45"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007F5E00">
        <w:rPr>
          <w:rFonts w:asciiTheme="minorHAnsi" w:eastAsiaTheme="minorHAnsi" w:hAnsiTheme="minorHAnsi" w:cstheme="minorBidi"/>
          <w:b/>
          <w:color w:val="auto"/>
          <w:spacing w:val="0"/>
          <w:lang w:eastAsia="en-US"/>
        </w:rPr>
        <w:t>s</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clear" w:pos="851"/>
          <w:tab w:val="num" w:pos="720"/>
        </w:tabs>
        <w:spacing w:before="0" w:after="0"/>
        <w:ind w:left="720" w:hanging="720"/>
        <w:contextualSpacing/>
        <w:rPr>
          <w:bCs w:val="0"/>
          <w:color w:val="683766"/>
          <w:sz w:val="22"/>
          <w:szCs w:val="22"/>
        </w:rPr>
      </w:pPr>
      <w:bookmarkStart w:id="74" w:name="_Toc222243940"/>
      <w:r w:rsidRPr="00E117C6">
        <w:rPr>
          <w:bCs w:val="0"/>
          <w:color w:val="683766"/>
          <w:sz w:val="22"/>
          <w:szCs w:val="22"/>
        </w:rPr>
        <w:t>Modalités de variation des prix</w:t>
      </w:r>
      <w:bookmarkEnd w:id="74"/>
    </w:p>
    <w:p w14:paraId="2127F042" w14:textId="6C23943C"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w:lastRenderedPageBreak/>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484697A5"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7F5E00">
        <w:rPr>
          <w:rFonts w:asciiTheme="minorHAnsi" w:eastAsiaTheme="minorEastAsia" w:hAnsiTheme="minorHAnsi" w:cstheme="minorBidi"/>
          <w:b/>
          <w:bCs/>
          <w:color w:val="auto"/>
          <w:spacing w:val="0"/>
          <w:lang w:eastAsia="en-US"/>
        </w:rPr>
        <w:t>l’indice SYNTEC</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75" w:name="_Toc222243941"/>
      <w:r w:rsidRPr="002336AB">
        <w:rPr>
          <w:color w:val="FFFFFF" w:themeColor="background1"/>
        </w:rPr>
        <w:t>Clauses de réexamen</w:t>
      </w:r>
      <w:bookmarkEnd w:id="75"/>
    </w:p>
    <w:p w14:paraId="2D64E78F" w14:textId="37641FE8" w:rsidR="005F5C92" w:rsidRPr="00050F55" w:rsidRDefault="005F5C92" w:rsidP="00FC3402">
      <w:pPr>
        <w:pStyle w:val="Titre2"/>
        <w:shd w:val="clear" w:color="auto" w:fill="auto"/>
        <w:tabs>
          <w:tab w:val="clear" w:pos="851"/>
          <w:tab w:val="num" w:pos="720"/>
        </w:tabs>
        <w:spacing w:before="120" w:after="120"/>
        <w:ind w:left="720" w:hanging="720"/>
        <w:jc w:val="both"/>
        <w:rPr>
          <w:bCs w:val="0"/>
          <w:color w:val="683766"/>
          <w:sz w:val="22"/>
          <w:szCs w:val="22"/>
        </w:rPr>
      </w:pPr>
      <w:bookmarkStart w:id="76" w:name="_Toc447210501"/>
      <w:bookmarkStart w:id="77" w:name="_Toc222243942"/>
      <w:r w:rsidRPr="00050F55">
        <w:rPr>
          <w:bCs w:val="0"/>
          <w:color w:val="683766"/>
          <w:sz w:val="22"/>
          <w:szCs w:val="22"/>
        </w:rPr>
        <w:t>Remplacement de l’un des titulaires initiaux par un nouveau titulaire en cours d’exécution</w:t>
      </w:r>
      <w:bookmarkEnd w:id="76"/>
      <w:bookmarkEnd w:id="77"/>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lastRenderedPageBreak/>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remplaçant proposé pourra être :</w:t>
      </w:r>
    </w:p>
    <w:p w14:paraId="56AB85BD" w14:textId="403E2D8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050F55" w:rsidRDefault="005F5C92" w:rsidP="00FC3402">
      <w:pPr>
        <w:pStyle w:val="Titre2"/>
        <w:shd w:val="clear" w:color="auto" w:fill="auto"/>
        <w:tabs>
          <w:tab w:val="clear" w:pos="851"/>
          <w:tab w:val="num" w:pos="720"/>
        </w:tabs>
        <w:spacing w:before="120" w:after="120"/>
        <w:ind w:left="720" w:hanging="720"/>
        <w:jc w:val="both"/>
        <w:rPr>
          <w:bCs w:val="0"/>
          <w:color w:val="683766"/>
          <w:sz w:val="22"/>
          <w:szCs w:val="22"/>
        </w:rPr>
      </w:pPr>
      <w:bookmarkStart w:id="78" w:name="_Toc447210502"/>
      <w:bookmarkStart w:id="79" w:name="_Toc222243943"/>
      <w:r w:rsidRPr="00050F55">
        <w:rPr>
          <w:bCs w:val="0"/>
          <w:color w:val="683766"/>
          <w:sz w:val="22"/>
          <w:szCs w:val="22"/>
        </w:rPr>
        <w:t>Remplacement du mandataire du groupement en cours d’exécution</w:t>
      </w:r>
      <w:bookmarkEnd w:id="78"/>
      <w:bookmarkEnd w:id="79"/>
    </w:p>
    <w:p w14:paraId="4E6BA121" w14:textId="77F1DE0E"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4651E0">
        <w:rPr>
          <w:rFonts w:asciiTheme="minorHAnsi" w:eastAsiaTheme="minorEastAsia" w:hAnsiTheme="minorHAnsi" w:cstheme="minorBidi"/>
          <w:b/>
          <w:bCs/>
          <w:color w:val="auto"/>
          <w:spacing w:val="0"/>
          <w:lang w:eastAsia="en-US"/>
        </w:rPr>
        <w:t>par dérogation à l’article 3.5 du CCAG-</w:t>
      </w:r>
      <w:r w:rsidR="004651E0" w:rsidRPr="004651E0">
        <w:rPr>
          <w:rFonts w:asciiTheme="minorHAnsi" w:eastAsiaTheme="minorEastAsia" w:hAnsiTheme="minorHAnsi" w:cstheme="minorBidi"/>
          <w:b/>
          <w:bCs/>
          <w:color w:val="auto"/>
          <w:spacing w:val="0"/>
          <w:lang w:eastAsia="en-US"/>
        </w:rPr>
        <w:t>TIC</w:t>
      </w:r>
      <w:r w:rsidRPr="004651E0">
        <w:rPr>
          <w:rFonts w:asciiTheme="minorHAnsi" w:eastAsiaTheme="minorEastAsia" w:hAnsiTheme="minorHAnsi" w:cstheme="minorBidi"/>
          <w:b/>
          <w:bCs/>
          <w:color w:val="auto"/>
          <w:spacing w:val="0"/>
          <w:lang w:eastAsia="en-US"/>
        </w:rPr>
        <w:t>.</w:t>
      </w:r>
    </w:p>
    <w:p w14:paraId="0607845A" w14:textId="476EC5E6" w:rsidR="00654C02" w:rsidRPr="00654C02" w:rsidRDefault="00903516" w:rsidP="00654C02">
      <w:pPr>
        <w:pStyle w:val="Titre1"/>
        <w:shd w:val="clear" w:color="auto" w:fill="DC8C00"/>
        <w:contextualSpacing/>
        <w:rPr>
          <w:color w:val="FFFFFF" w:themeColor="background1"/>
        </w:rPr>
      </w:pPr>
      <w:bookmarkStart w:id="80" w:name="_Hlk83392294"/>
      <w:bookmarkStart w:id="81" w:name="_Toc222243944"/>
      <w:r>
        <w:rPr>
          <w:color w:val="FFFFFF" w:themeColor="background1"/>
        </w:rPr>
        <w:t>Avance</w:t>
      </w:r>
      <w:bookmarkEnd w:id="81"/>
    </w:p>
    <w:p w14:paraId="134D770B" w14:textId="125EF815" w:rsidR="00654C02" w:rsidRPr="002506B7" w:rsidRDefault="00654C02" w:rsidP="00654C02">
      <w:pPr>
        <w:spacing w:before="120" w:after="120" w:line="240" w:lineRule="auto"/>
        <w:jc w:val="both"/>
        <w:rPr>
          <w:rFonts w:ascii="Calibri" w:hAnsi="Calibri"/>
          <w:sz w:val="20"/>
          <w:szCs w:val="20"/>
        </w:rPr>
      </w:pPr>
      <w:bookmarkStart w:id="82" w:name="_Hlk221809494"/>
      <w:r w:rsidRPr="002506B7">
        <w:rPr>
          <w:rFonts w:ascii="Calibri" w:hAnsi="Calibri"/>
          <w:sz w:val="20"/>
          <w:szCs w:val="20"/>
        </w:rPr>
        <w:t>Une avance est accordée au prestataire dans les conditions fixées par la réglementation en vigueur</w:t>
      </w:r>
      <w:r w:rsidR="001835F8">
        <w:rPr>
          <w:rFonts w:ascii="Calibri" w:hAnsi="Calibri"/>
          <w:sz w:val="20"/>
          <w:szCs w:val="20"/>
        </w:rPr>
        <w:t xml:space="preserve">. </w:t>
      </w:r>
      <w:r w:rsidR="00470A07">
        <w:rPr>
          <w:rFonts w:ascii="Calibri" w:hAnsi="Calibri"/>
          <w:sz w:val="20"/>
          <w:szCs w:val="20"/>
        </w:rPr>
        <w:t>Aucune</w:t>
      </w:r>
      <w:r>
        <w:rPr>
          <w:rFonts w:ascii="Calibri" w:hAnsi="Calibri"/>
          <w:sz w:val="20"/>
          <w:szCs w:val="20"/>
        </w:rPr>
        <w:t xml:space="preserve"> avance ne sera versée pour les commandes inférieures à 50 000 € HT ou dont le délai d’exécution est inférieur à deux mois. </w:t>
      </w:r>
    </w:p>
    <w:bookmarkEnd w:id="82"/>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lastRenderedPageBreak/>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386E94B0" w14:textId="77777777" w:rsidR="00807A05" w:rsidRDefault="00807A05" w:rsidP="00654C02">
      <w:pPr>
        <w:spacing w:before="120" w:after="120" w:line="240" w:lineRule="auto"/>
        <w:jc w:val="both"/>
        <w:rPr>
          <w:rFonts w:ascii="Calibri" w:hAnsi="Calibri"/>
          <w:sz w:val="20"/>
          <w:szCs w:val="20"/>
        </w:rPr>
      </w:pPr>
    </w:p>
    <w:p w14:paraId="2410FEF9" w14:textId="0090A75E" w:rsidR="002336AB" w:rsidRDefault="0042454B" w:rsidP="002336AB">
      <w:pPr>
        <w:pStyle w:val="Titre1"/>
        <w:shd w:val="clear" w:color="auto" w:fill="DC8C00"/>
        <w:contextualSpacing/>
        <w:rPr>
          <w:color w:val="FFFFFF" w:themeColor="background1"/>
        </w:rPr>
      </w:pPr>
      <w:bookmarkStart w:id="83" w:name="_Toc222243945"/>
      <w:bookmarkEnd w:id="80"/>
      <w:r w:rsidRPr="002336AB">
        <w:rPr>
          <w:color w:val="FFFFFF" w:themeColor="background1"/>
        </w:rPr>
        <w:lastRenderedPageBreak/>
        <w:t>Modalités de règlement des prestations</w:t>
      </w:r>
      <w:bookmarkEnd w:id="83"/>
    </w:p>
    <w:p w14:paraId="60BD0A65" w14:textId="77777777" w:rsidR="0042454B" w:rsidRPr="00050F55" w:rsidRDefault="0042454B" w:rsidP="00FB0ABE">
      <w:pPr>
        <w:pStyle w:val="Titre2"/>
        <w:shd w:val="clear" w:color="auto" w:fill="auto"/>
        <w:tabs>
          <w:tab w:val="clear" w:pos="851"/>
          <w:tab w:val="num" w:pos="720"/>
        </w:tabs>
        <w:spacing w:before="120" w:after="120"/>
        <w:ind w:left="720" w:hanging="720"/>
        <w:rPr>
          <w:bCs w:val="0"/>
          <w:color w:val="683766"/>
          <w:sz w:val="22"/>
          <w:szCs w:val="22"/>
        </w:rPr>
      </w:pPr>
      <w:bookmarkStart w:id="84" w:name="_Toc222243946"/>
      <w:r w:rsidRPr="00050F55">
        <w:rPr>
          <w:bCs w:val="0"/>
          <w:color w:val="683766"/>
          <w:sz w:val="22"/>
          <w:szCs w:val="22"/>
        </w:rPr>
        <w:t>T.V.A.</w:t>
      </w:r>
      <w:bookmarkEnd w:id="84"/>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tabs>
          <w:tab w:val="clear" w:pos="851"/>
        </w:tabs>
        <w:spacing w:before="0" w:after="0"/>
        <w:ind w:left="1418" w:hanging="1418"/>
        <w:contextualSpacing/>
        <w:rPr>
          <w:bCs w:val="0"/>
          <w:color w:val="683766"/>
          <w:sz w:val="22"/>
          <w:szCs w:val="22"/>
        </w:rPr>
      </w:pPr>
      <w:bookmarkStart w:id="85" w:name="_Hlk184224700"/>
      <w:bookmarkStart w:id="86" w:name="_Toc222243947"/>
      <w:r w:rsidRPr="00050F55">
        <w:rPr>
          <w:bCs w:val="0"/>
          <w:color w:val="683766"/>
          <w:sz w:val="22"/>
          <w:szCs w:val="22"/>
        </w:rPr>
        <w:t>Transmission des demandes de paiement</w:t>
      </w:r>
      <w:bookmarkEnd w:id="86"/>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0341DE9C" w:rsidR="00FE6E66" w:rsidRDefault="00B6193F" w:rsidP="00FE6E66">
      <w:pPr>
        <w:spacing w:before="120" w:after="120" w:line="240" w:lineRule="auto"/>
        <w:jc w:val="both"/>
        <w:rPr>
          <w:rFonts w:ascii="Calibri" w:hAnsi="Calibri"/>
          <w:b/>
          <w:bCs/>
          <w:sz w:val="20"/>
          <w:szCs w:val="20"/>
        </w:rPr>
      </w:pPr>
      <w:r>
        <w:rPr>
          <w:rFonts w:ascii="Calibri" w:hAnsi="Calibri"/>
          <w:b/>
          <w:bCs/>
          <w:sz w:val="20"/>
          <w:szCs w:val="20"/>
        </w:rPr>
        <w:t>Depuis le</w:t>
      </w:r>
      <w:r w:rsidR="00FE6E66" w:rsidRPr="00FE6E66">
        <w:rPr>
          <w:rFonts w:ascii="Calibri" w:hAnsi="Calibri"/>
          <w:b/>
          <w:bCs/>
          <w:sz w:val="20"/>
          <w:szCs w:val="20"/>
        </w:rPr>
        <w:t xml:space="preserve">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87" w:name="_Hlk184224726"/>
      <w:bookmarkStart w:id="88" w:name="_Toc222243948"/>
      <w:bookmarkEnd w:id="85"/>
      <w:r>
        <w:rPr>
          <w:bCs w:val="0"/>
          <w:color w:val="683766"/>
          <w:sz w:val="22"/>
          <w:szCs w:val="22"/>
        </w:rPr>
        <w:t>Modalités et p</w:t>
      </w:r>
      <w:r w:rsidRPr="00050F55">
        <w:rPr>
          <w:bCs w:val="0"/>
          <w:color w:val="683766"/>
          <w:sz w:val="22"/>
          <w:szCs w:val="22"/>
        </w:rPr>
        <w:t>ériodicité des paiements</w:t>
      </w:r>
      <w:bookmarkEnd w:id="88"/>
      <w:r w:rsidRPr="00050F55">
        <w:rPr>
          <w:bCs w:val="0"/>
          <w:color w:val="683766"/>
          <w:sz w:val="22"/>
          <w:szCs w:val="22"/>
        </w:rPr>
        <w:t xml:space="preserve"> </w:t>
      </w:r>
    </w:p>
    <w:p w14:paraId="5ECD38DF" w14:textId="77777777" w:rsidR="00AA192D"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seront réglées en application des quantités et prix indiqués dans le bon de commande, sur la base du Bordereau des Prix Unitaires (BPU). </w:t>
      </w:r>
    </w:p>
    <w:p w14:paraId="22B71A18" w14:textId="65CFCF23" w:rsidR="001835F8" w:rsidRDefault="001835F8" w:rsidP="001835F8">
      <w:pPr>
        <w:spacing w:before="120" w:after="120" w:line="240" w:lineRule="auto"/>
        <w:jc w:val="both"/>
        <w:rPr>
          <w:rFonts w:ascii="Calibri" w:hAnsi="Calibri"/>
          <w:sz w:val="20"/>
          <w:szCs w:val="20"/>
        </w:rPr>
      </w:pPr>
      <w:r w:rsidRPr="001835F8">
        <w:rPr>
          <w:rFonts w:ascii="Calibri" w:hAnsi="Calibri"/>
          <w:sz w:val="20"/>
          <w:szCs w:val="20"/>
        </w:rPr>
        <w:t>Un</w:t>
      </w:r>
      <w:r>
        <w:rPr>
          <w:rFonts w:ascii="Calibri" w:hAnsi="Calibri"/>
          <w:sz w:val="20"/>
          <w:szCs w:val="20"/>
        </w:rPr>
        <w:t xml:space="preserve"> bon de commande mensuel sera émis en fonction de l’estimation des prestations à venir </w:t>
      </w:r>
      <w:r w:rsidR="00AD4870">
        <w:rPr>
          <w:rFonts w:ascii="Calibri" w:hAnsi="Calibri"/>
          <w:sz w:val="20"/>
          <w:szCs w:val="20"/>
        </w:rPr>
        <w:t>pour</w:t>
      </w:r>
      <w:r>
        <w:rPr>
          <w:rFonts w:ascii="Calibri" w:hAnsi="Calibri"/>
          <w:sz w:val="20"/>
          <w:szCs w:val="20"/>
        </w:rPr>
        <w:t xml:space="preserve"> le mois. </w:t>
      </w:r>
    </w:p>
    <w:p w14:paraId="219C517E" w14:textId="209BEB6B" w:rsidR="00FE6E66" w:rsidRPr="00FE6E66" w:rsidRDefault="00FE6E66" w:rsidP="00FE6E66">
      <w:pPr>
        <w:spacing w:before="120" w:after="120" w:line="240" w:lineRule="auto"/>
        <w:jc w:val="both"/>
        <w:rPr>
          <w:rFonts w:ascii="Calibri" w:hAnsi="Calibri"/>
          <w:sz w:val="20"/>
          <w:szCs w:val="20"/>
        </w:rPr>
      </w:pPr>
      <w:r w:rsidRPr="00E239DD">
        <w:rPr>
          <w:rFonts w:ascii="Calibri" w:hAnsi="Calibri"/>
          <w:sz w:val="20"/>
          <w:szCs w:val="20"/>
        </w:rPr>
        <w:t xml:space="preserve">Le règlement du prix </w:t>
      </w:r>
      <w:r w:rsidR="00AA192D">
        <w:rPr>
          <w:rFonts w:ascii="Calibri" w:hAnsi="Calibri"/>
          <w:sz w:val="20"/>
          <w:szCs w:val="20"/>
        </w:rPr>
        <w:t xml:space="preserve">du bon de commande </w:t>
      </w:r>
      <w:r w:rsidRPr="00E239DD">
        <w:rPr>
          <w:rFonts w:ascii="Calibri" w:hAnsi="Calibri"/>
          <w:sz w:val="20"/>
          <w:szCs w:val="20"/>
        </w:rPr>
        <w:t>s’effectue</w:t>
      </w:r>
      <w:r w:rsidR="00AA192D">
        <w:rPr>
          <w:rFonts w:ascii="Calibri" w:hAnsi="Calibri"/>
          <w:sz w:val="20"/>
          <w:szCs w:val="20"/>
        </w:rPr>
        <w:t xml:space="preserve"> </w:t>
      </w:r>
      <w:r w:rsidR="007671F4">
        <w:rPr>
          <w:rFonts w:ascii="Calibri" w:hAnsi="Calibri"/>
          <w:sz w:val="20"/>
          <w:szCs w:val="20"/>
        </w:rPr>
        <w:t>au fur et à mesure</w:t>
      </w:r>
      <w:r w:rsidR="00AA192D">
        <w:rPr>
          <w:rFonts w:ascii="Calibri" w:hAnsi="Calibri"/>
          <w:sz w:val="20"/>
          <w:szCs w:val="20"/>
        </w:rPr>
        <w:t>, après validation du service fait</w:t>
      </w:r>
      <w:r w:rsidRPr="00E239DD">
        <w:rPr>
          <w:rFonts w:ascii="Calibri" w:hAnsi="Calibri"/>
          <w:sz w:val="20"/>
          <w:szCs w:val="20"/>
        </w:rPr>
        <w:t xml:space="preserve">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89" w:name="_Toc222243949"/>
      <w:bookmarkEnd w:id="87"/>
      <w:r w:rsidRPr="00050F55">
        <w:rPr>
          <w:bCs w:val="0"/>
          <w:color w:val="683766"/>
          <w:sz w:val="22"/>
          <w:szCs w:val="22"/>
        </w:rPr>
        <w:t>Délais de paiement</w:t>
      </w:r>
      <w:bookmarkEnd w:id="89"/>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90" w:name="_Toc222243950"/>
      <w:r>
        <w:rPr>
          <w:bCs w:val="0"/>
          <w:color w:val="683766"/>
          <w:sz w:val="22"/>
          <w:szCs w:val="22"/>
        </w:rPr>
        <w:t>D</w:t>
      </w:r>
      <w:r w:rsidRPr="00050F55">
        <w:rPr>
          <w:bCs w:val="0"/>
          <w:color w:val="683766"/>
          <w:sz w:val="22"/>
          <w:szCs w:val="22"/>
        </w:rPr>
        <w:t>emandes de paiement</w:t>
      </w:r>
      <w:bookmarkEnd w:id="90"/>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5ED62481"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Lorsque le titulaire a droit au paiement d'acomptes conformément aux dispositions ci-dessus, la demande de paiement d'acompte est établie, conformément à l'article 11.3 du CCAG</w:t>
      </w:r>
      <w:r w:rsidR="007B2217">
        <w:rPr>
          <w:rFonts w:ascii="Calibri" w:hAnsi="Calibri"/>
          <w:sz w:val="20"/>
          <w:szCs w:val="20"/>
        </w:rPr>
        <w:t>-TIC</w:t>
      </w:r>
      <w:r w:rsidRPr="00792077">
        <w:rPr>
          <w:rFonts w:ascii="Calibri" w:hAnsi="Calibri"/>
          <w:sz w:val="20"/>
          <w:szCs w:val="20"/>
        </w:rPr>
        <w:t xml:space="preserve">,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BE5FFD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w:t>
      </w:r>
      <w:r w:rsidR="007B2217">
        <w:rPr>
          <w:rFonts w:ascii="Calibri" w:hAnsi="Calibri"/>
          <w:sz w:val="20"/>
          <w:szCs w:val="20"/>
        </w:rPr>
        <w:t>TIC</w:t>
      </w:r>
      <w:r w:rsidRPr="00792077">
        <w:rPr>
          <w:rFonts w:ascii="Calibri" w:hAnsi="Calibri"/>
          <w:sz w:val="20"/>
          <w:szCs w:val="20"/>
        </w:rPr>
        <w:t>, la demande de paiement est datée et comporte, selon le cas :</w:t>
      </w:r>
    </w:p>
    <w:p w14:paraId="14E775E9" w14:textId="447A1407"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références du marché ;</w:t>
      </w:r>
    </w:p>
    <w:p w14:paraId="0EA316BB" w14:textId="746871C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des prestations admises, établi conformément aux stipulations du marché, hors TVA et, le cas échéant, diminué des réfactions le cas échéant ;</w:t>
      </w:r>
    </w:p>
    <w:p w14:paraId="21ABC86C" w14:textId="7FEAC380"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groupement conjoint, pour chaque opérateur économique, le montant des prestations effectuées par l’opérateur économique ;</w:t>
      </w:r>
    </w:p>
    <w:p w14:paraId="38D6F87F" w14:textId="68E3E94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l’application de l’actualisation ou de la révision de prix ;</w:t>
      </w:r>
    </w:p>
    <w:p w14:paraId="2A07F6AE" w14:textId="3B56F2D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lastRenderedPageBreak/>
        <w:t>le</w:t>
      </w:r>
      <w:proofErr w:type="gramEnd"/>
      <w:r w:rsidRPr="00792077">
        <w:rPr>
          <w:rFonts w:ascii="Calibri" w:hAnsi="Calibri"/>
          <w:sz w:val="20"/>
          <w:szCs w:val="20"/>
        </w:rPr>
        <w:t xml:space="preserve"> cas échéant, les indemnités, primes, retenues, ou rabais ;</w:t>
      </w:r>
    </w:p>
    <w:p w14:paraId="0E8F4330" w14:textId="398352B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la</w:t>
      </w:r>
      <w:proofErr w:type="gramEnd"/>
      <w:r w:rsidRPr="00792077">
        <w:rPr>
          <w:rFonts w:ascii="Calibri" w:hAnsi="Calibri"/>
          <w:sz w:val="20"/>
          <w:szCs w:val="20"/>
        </w:rPr>
        <w:t xml:space="preserve"> retenue de garantie, établie conformément aux stipulations du marché ;</w:t>
      </w:r>
    </w:p>
    <w:p w14:paraId="291130FA" w14:textId="12464B55"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pénalités éventuelles pour retard ;</w:t>
      </w:r>
    </w:p>
    <w:p w14:paraId="1390A490" w14:textId="7885528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 la TVA ;</w:t>
      </w:r>
    </w:p>
    <w:p w14:paraId="2F05F591" w14:textId="1F67C29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.2 Solde du marché</w:t>
      </w:r>
    </w:p>
    <w:p w14:paraId="630A1C4C" w14:textId="611BAB6B" w:rsidR="00FE6E66" w:rsidRPr="00792077" w:rsidRDefault="00FE6E66" w:rsidP="00FE6E66">
      <w:pPr>
        <w:pStyle w:val="05ARTICLENiv1-Texte"/>
        <w:spacing w:before="120"/>
        <w:rPr>
          <w:rFonts w:ascii="Calibri" w:hAnsi="Calibri" w:cs="Calibri"/>
        </w:rPr>
      </w:pPr>
      <w:bookmarkStart w:id="91" w:name="_Toc52783173"/>
      <w:r w:rsidRPr="00792077">
        <w:rPr>
          <w:rFonts w:ascii="Calibri" w:hAnsi="Calibri" w:cs="Calibri"/>
        </w:rPr>
        <w:t>La demande de paiement du solde est établie, conformément à l’article 11.7 du CCAG-</w:t>
      </w:r>
      <w:r w:rsidR="007B2217">
        <w:rPr>
          <w:rFonts w:ascii="Calibri" w:hAnsi="Calibri" w:cs="Calibri"/>
        </w:rPr>
        <w:t>TIC</w:t>
      </w:r>
      <w:r w:rsidRPr="00792077">
        <w:rPr>
          <w:rFonts w:ascii="Calibri" w:hAnsi="Calibri" w:cs="Calibri"/>
        </w:rPr>
        <w:t>, par le titulaire :</w:t>
      </w:r>
    </w:p>
    <w:p w14:paraId="15EC6B8D" w14:textId="77777777" w:rsidR="00FE6E66" w:rsidRPr="00792077" w:rsidRDefault="00FE6E66" w:rsidP="00C96534">
      <w:pPr>
        <w:pStyle w:val="05ARTICLENiv1-Texte"/>
        <w:numPr>
          <w:ilvl w:val="0"/>
          <w:numId w:val="24"/>
        </w:numPr>
        <w:spacing w:after="60"/>
        <w:ind w:left="714" w:hanging="357"/>
        <w:rPr>
          <w:rFonts w:ascii="Calibri" w:hAnsi="Calibri" w:cs="Calibri"/>
        </w:rPr>
      </w:pPr>
      <w:proofErr w:type="gramStart"/>
      <w:r w:rsidRPr="00792077">
        <w:rPr>
          <w:rFonts w:ascii="Calibri" w:hAnsi="Calibri" w:cs="Calibri"/>
        </w:rPr>
        <w:t>dans</w:t>
      </w:r>
      <w:proofErr w:type="gramEnd"/>
      <w:r w:rsidRPr="00792077">
        <w:rPr>
          <w:rFonts w:ascii="Calibri" w:hAnsi="Calibri" w:cs="Calibri"/>
        </w:rPr>
        <w:t xml:space="preserve"> un délai de 45 jours à compter soit :</w:t>
      </w:r>
    </w:p>
    <w:p w14:paraId="29E6AED4"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décision d’admission des prestations ;</w:t>
      </w:r>
    </w:p>
    <w:p w14:paraId="11CDD41C"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C96534">
      <w:pPr>
        <w:pStyle w:val="05ARTICLENiv1-Texte"/>
        <w:numPr>
          <w:ilvl w:val="0"/>
          <w:numId w:val="24"/>
        </w:numPr>
        <w:tabs>
          <w:tab w:val="left" w:leader="dot" w:pos="9356"/>
        </w:tabs>
        <w:spacing w:after="60"/>
        <w:ind w:left="714" w:hanging="357"/>
        <w:rPr>
          <w:rFonts w:ascii="Calibri" w:hAnsi="Calibri" w:cs="Calibri"/>
          <w:strike/>
        </w:rPr>
      </w:pPr>
      <w:proofErr w:type="gramStart"/>
      <w:r w:rsidRPr="00792077">
        <w:rPr>
          <w:rFonts w:ascii="Calibri" w:hAnsi="Calibri" w:cs="Calibri"/>
        </w:rPr>
        <w:t>une</w:t>
      </w:r>
      <w:proofErr w:type="gramEnd"/>
      <w:r w:rsidRPr="00792077">
        <w:rPr>
          <w:rFonts w:ascii="Calibri" w:hAnsi="Calibri" w:cs="Calibri"/>
        </w:rPr>
        <w:t xml:space="preserve"> récapitulation des acomptes et/ou règlements partiels définitifs perçus pour l'ensemble des prestations du marché objet du projet de décompte, </w:t>
      </w:r>
    </w:p>
    <w:p w14:paraId="110359DA" w14:textId="77777777" w:rsidR="00FE6E66" w:rsidRPr="00792077" w:rsidRDefault="00FE6E66" w:rsidP="00C96534">
      <w:pPr>
        <w:pStyle w:val="05ARTICLENiv1-Texte"/>
        <w:numPr>
          <w:ilvl w:val="0"/>
          <w:numId w:val="24"/>
        </w:numPr>
        <w:tabs>
          <w:tab w:val="left" w:leader="dot" w:pos="9356"/>
        </w:tabs>
        <w:spacing w:after="0"/>
        <w:ind w:left="714" w:hanging="357"/>
        <w:rPr>
          <w:rFonts w:ascii="Calibri" w:hAnsi="Calibri" w:cs="Calibri"/>
        </w:rPr>
      </w:pPr>
      <w:proofErr w:type="gramStart"/>
      <w:r w:rsidRPr="00792077">
        <w:rPr>
          <w:rFonts w:ascii="Calibri" w:hAnsi="Calibri" w:cs="Calibri"/>
        </w:rPr>
        <w:t>le</w:t>
      </w:r>
      <w:proofErr w:type="gramEnd"/>
      <w:r w:rsidRPr="00792077">
        <w:rPr>
          <w:rFonts w:ascii="Calibri" w:hAnsi="Calibri" w:cs="Calibri"/>
        </w:rPr>
        <w:t xml:space="preserve"> cas échéant, une demande de paiement correspondant :</w:t>
      </w:r>
    </w:p>
    <w:p w14:paraId="489AC8CD"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aux</w:t>
      </w:r>
      <w:proofErr w:type="gramEnd"/>
      <w:r w:rsidRPr="00792077">
        <w:rPr>
          <w:rFonts w:ascii="Calibri" w:hAnsi="Calibri" w:cs="Calibri"/>
        </w:rPr>
        <w:t xml:space="preserve"> sommes dues le dernier mois d'exécution, si le titulaire n'a pas produit une demande d'acompte pour ces prestations ;</w:t>
      </w:r>
    </w:p>
    <w:p w14:paraId="75163AAF"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w:t>
      </w:r>
      <w:proofErr w:type="gramEnd"/>
      <w:r w:rsidRPr="00792077">
        <w:rPr>
          <w:rFonts w:ascii="Calibri" w:hAnsi="Calibri" w:cs="Calibri"/>
        </w:rPr>
        <w:t xml:space="preserve">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91"/>
    </w:p>
    <w:p w14:paraId="7F136D29" w14:textId="77777777" w:rsidR="00FE6E66" w:rsidRPr="00050F55" w:rsidRDefault="00FE6E66" w:rsidP="00FE6E66">
      <w:pPr>
        <w:pStyle w:val="Titre2"/>
        <w:shd w:val="clear" w:color="auto" w:fill="auto"/>
        <w:tabs>
          <w:tab w:val="clear" w:pos="851"/>
        </w:tabs>
        <w:spacing w:before="0" w:after="0"/>
        <w:ind w:left="1418" w:hanging="1418"/>
        <w:contextualSpacing/>
        <w:rPr>
          <w:bCs w:val="0"/>
          <w:color w:val="683766"/>
          <w:sz w:val="22"/>
          <w:szCs w:val="22"/>
        </w:rPr>
      </w:pPr>
      <w:bookmarkStart w:id="92" w:name="_Toc222243951"/>
      <w:r>
        <w:rPr>
          <w:bCs w:val="0"/>
          <w:color w:val="683766"/>
          <w:sz w:val="22"/>
          <w:szCs w:val="22"/>
        </w:rPr>
        <w:t>Règlement en cas de groupement d’opérateurs économiques et de sous-traitants ayant droit au paiement direct</w:t>
      </w:r>
      <w:bookmarkEnd w:id="92"/>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F8670A6"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 xml:space="preserve">Quelle que soit la forme du groupement d’opérateurs économiques, le mandataire est </w:t>
      </w:r>
      <w:proofErr w:type="gramStart"/>
      <w:r w:rsidRPr="002C1F44">
        <w:rPr>
          <w:rFonts w:ascii="Calibri" w:hAnsi="Calibri"/>
          <w:b/>
          <w:bCs/>
          <w:sz w:val="20"/>
          <w:szCs w:val="20"/>
        </w:rPr>
        <w:t>seul</w:t>
      </w:r>
      <w:r w:rsidR="007B2217">
        <w:rPr>
          <w:rFonts w:ascii="Calibri" w:hAnsi="Calibri"/>
          <w:b/>
          <w:bCs/>
          <w:sz w:val="20"/>
          <w:szCs w:val="20"/>
        </w:rPr>
        <w:t xml:space="preserve"> </w:t>
      </w:r>
      <w:r w:rsidRPr="002C1F44">
        <w:rPr>
          <w:rFonts w:ascii="Calibri" w:hAnsi="Calibri"/>
          <w:b/>
          <w:bCs/>
          <w:sz w:val="20"/>
          <w:szCs w:val="20"/>
        </w:rPr>
        <w:t>habilité</w:t>
      </w:r>
      <w:proofErr w:type="gramEnd"/>
      <w:r w:rsidRPr="002C1F44">
        <w:rPr>
          <w:rFonts w:ascii="Calibri" w:hAnsi="Calibri"/>
          <w:b/>
          <w:bCs/>
          <w:sz w:val="20"/>
          <w:szCs w:val="20"/>
        </w:rPr>
        <w:t xml:space="preserve"> à présenter à l'acheteur les demandes de paiement.</w:t>
      </w:r>
    </w:p>
    <w:p w14:paraId="3EB87096" w14:textId="4A9699CC"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sidR="007B2217">
        <w:rPr>
          <w:rFonts w:ascii="Calibri" w:hAnsi="Calibri"/>
          <w:b/>
          <w:bCs/>
          <w:sz w:val="20"/>
          <w:szCs w:val="20"/>
        </w:rPr>
        <w:t>TIC</w:t>
      </w:r>
      <w:r w:rsidRPr="00A637C4">
        <w:rPr>
          <w:rFonts w:ascii="Calibri" w:hAnsi="Calibri"/>
          <w:sz w:val="20"/>
          <w:szCs w:val="20"/>
        </w:rPr>
        <w:t>, le paiement peut être effectué sur un compte unique, ouvert au nom des membres du groupement ou du mandataire.</w:t>
      </w:r>
    </w:p>
    <w:p w14:paraId="44C4006F" w14:textId="703CC18D"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7B2217">
        <w:rPr>
          <w:rFonts w:ascii="Calibri" w:hAnsi="Calibri"/>
          <w:sz w:val="20"/>
          <w:szCs w:val="20"/>
        </w:rPr>
        <w:t>TIC</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xml:space="preserve">, le paiement est effectué sur un compte unique, ouvert au nom des membres du groupement ou du mandataire. L’acheteur peut également procéder à un règlement séparé de chacun des cotraitants, si la répartition des paiements </w:t>
      </w:r>
      <w:r w:rsidR="007B2217">
        <w:rPr>
          <w:rFonts w:ascii="Calibri" w:hAnsi="Calibri"/>
          <w:sz w:val="20"/>
          <w:szCs w:val="20"/>
        </w:rPr>
        <w:t xml:space="preserve">dans le </w:t>
      </w:r>
      <w:r w:rsidRPr="00A637C4">
        <w:rPr>
          <w:rFonts w:ascii="Calibri" w:hAnsi="Calibri"/>
          <w:sz w:val="20"/>
          <w:szCs w:val="20"/>
        </w:rPr>
        <w:t>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lastRenderedPageBreak/>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Les modalités de paiement du sous-traitant payé directement sont celles qui sont définies aux articles R. 2193-10 à R. 2193-16 du CCP.</w:t>
      </w:r>
    </w:p>
    <w:p w14:paraId="03B1631F" w14:textId="68CD69DA" w:rsidR="00FE6E66" w:rsidRDefault="00FE6E66" w:rsidP="00FE6E66">
      <w:pPr>
        <w:spacing w:before="120" w:after="120" w:line="240" w:lineRule="auto"/>
        <w:jc w:val="both"/>
        <w:rPr>
          <w:rFonts w:ascii="Calibri" w:hAnsi="Calibri"/>
          <w:sz w:val="20"/>
          <w:szCs w:val="20"/>
        </w:rPr>
      </w:pPr>
      <w:r>
        <w:rPr>
          <w:rFonts w:ascii="Calibri" w:hAnsi="Calibri"/>
          <w:sz w:val="20"/>
          <w:szCs w:val="20"/>
        </w:rPr>
        <w:t>En complément de l’article 11.3.1 du CCAG-</w:t>
      </w:r>
      <w:r w:rsidR="007B2217">
        <w:rPr>
          <w:rFonts w:ascii="Calibri" w:hAnsi="Calibri"/>
          <w:sz w:val="20"/>
          <w:szCs w:val="20"/>
        </w:rPr>
        <w:t>TIC</w:t>
      </w:r>
      <w:r>
        <w:rPr>
          <w:rFonts w:ascii="Calibri" w:hAnsi="Calibri"/>
          <w:sz w:val="20"/>
          <w:szCs w:val="20"/>
        </w:rPr>
        <w:t xml:space="preserve">,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93" w:name="_Toc222243952"/>
      <w:r w:rsidRPr="00050F55">
        <w:rPr>
          <w:bCs w:val="0"/>
          <w:color w:val="683766"/>
          <w:sz w:val="22"/>
          <w:szCs w:val="22"/>
        </w:rPr>
        <w:t>Intérêts moratoires</w:t>
      </w:r>
      <w:bookmarkEnd w:id="93"/>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lastRenderedPageBreak/>
        <w:t xml:space="preserve">365 : nombre de jours calendaires de l’année civile. </w:t>
      </w:r>
    </w:p>
    <w:p w14:paraId="22EA8060" w14:textId="77777777" w:rsidR="00FE6E66"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94" w:name="_Toc222243953"/>
      <w:r w:rsidRPr="00A637C4">
        <w:rPr>
          <w:bCs w:val="0"/>
          <w:color w:val="683766"/>
          <w:sz w:val="22"/>
          <w:szCs w:val="22"/>
        </w:rPr>
        <w:t>Mode de règlement</w:t>
      </w:r>
      <w:bookmarkEnd w:id="94"/>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95" w:name="_Toc52704466"/>
      <w:bookmarkStart w:id="96" w:name="_Toc125177968"/>
      <w:bookmarkStart w:id="97" w:name="_Toc129494749"/>
      <w:bookmarkStart w:id="98" w:name="_Toc129495194"/>
      <w:bookmarkStart w:id="99" w:name="_Toc129495262"/>
      <w:bookmarkStart w:id="100" w:name="_Toc129511097"/>
      <w:bookmarkStart w:id="101" w:name="_Toc131847294"/>
      <w:r w:rsidRPr="00FD51A5">
        <w:rPr>
          <w:rFonts w:ascii="Wingdings" w:eastAsia="Wingdings" w:hAnsi="Wingdings" w:cs="Wingdings"/>
        </w:rPr>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proofErr w:type="gramStart"/>
      <w:r w:rsidRPr="00FE6E66">
        <w:rPr>
          <w:rFonts w:ascii="Calibri" w:hAnsi="Calibri" w:cs="Calibri"/>
          <w:b/>
          <w:bCs/>
          <w:i/>
          <w:iCs/>
          <w:color w:val="FF0000"/>
        </w:rPr>
        <w:t>OU</w:t>
      </w:r>
      <w:proofErr w:type="gramEnd"/>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proofErr w:type="gramStart"/>
      <w:r w:rsidRPr="00FD51A5">
        <w:rPr>
          <w:rFonts w:ascii="Calibri" w:hAnsi="Calibri" w:cs="Calibri"/>
          <w:b/>
          <w:i/>
          <w:color w:val="FF0000"/>
          <w:u w:val="single"/>
        </w:rPr>
        <w:t>)</w:t>
      </w:r>
      <w:r w:rsidRPr="00FD51A5">
        <w:rPr>
          <w:rFonts w:ascii="Calibri" w:hAnsi="Calibri" w:cs="Calibri"/>
          <w:b/>
          <w:i/>
          <w:u w:val="single"/>
        </w:rPr>
        <w:t>:</w:t>
      </w:r>
      <w:proofErr w:type="gramEnd"/>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95"/>
    <w:bookmarkEnd w:id="96"/>
    <w:bookmarkEnd w:id="97"/>
    <w:bookmarkEnd w:id="98"/>
    <w:bookmarkEnd w:id="99"/>
    <w:bookmarkEnd w:id="100"/>
    <w:bookmarkEnd w:id="101"/>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avec</w:t>
      </w:r>
      <w:proofErr w:type="gramEnd"/>
      <w:r>
        <w:rPr>
          <w:rFonts w:ascii="Calibri" w:hAnsi="Calibri" w:cs="Calibri"/>
          <w:b/>
          <w:i/>
        </w:rPr>
        <w:t xml:space="preserve">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pPr>
              <w:spacing w:after="60"/>
              <w:jc w:val="both"/>
              <w:rPr>
                <w:rFonts w:ascii="Calibri" w:hAnsi="Calibri" w:cs="Calibri"/>
                <w:sz w:val="20"/>
                <w:szCs w:val="20"/>
              </w:rPr>
            </w:pPr>
          </w:p>
          <w:p w14:paraId="268F1413" w14:textId="77777777" w:rsidR="00FE6E66" w:rsidRPr="00B47E94" w:rsidRDefault="00FE6E66">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pPr>
              <w:spacing w:after="60"/>
              <w:jc w:val="both"/>
              <w:rPr>
                <w:rFonts w:ascii="Calibri" w:hAnsi="Calibri" w:cs="Calibri"/>
                <w:sz w:val="20"/>
                <w:szCs w:val="20"/>
              </w:rPr>
            </w:pPr>
          </w:p>
          <w:p w14:paraId="182A2B49" w14:textId="77777777" w:rsidR="00FE6E66" w:rsidRPr="00B47E94" w:rsidRDefault="00FE6E66">
            <w:pPr>
              <w:spacing w:after="60"/>
              <w:jc w:val="both"/>
              <w:rPr>
                <w:rFonts w:ascii="Calibri" w:hAnsi="Calibri" w:cs="Calibri"/>
                <w:sz w:val="20"/>
                <w:szCs w:val="20"/>
              </w:rPr>
            </w:pPr>
          </w:p>
          <w:p w14:paraId="24CB483E" w14:textId="77777777" w:rsidR="00FE6E66" w:rsidRPr="00B47E94" w:rsidRDefault="00FE6E66">
            <w:pPr>
              <w:spacing w:after="60"/>
              <w:jc w:val="both"/>
              <w:rPr>
                <w:rFonts w:ascii="Calibri" w:hAnsi="Calibri" w:cs="Calibri"/>
                <w:sz w:val="20"/>
                <w:szCs w:val="20"/>
              </w:rPr>
            </w:pPr>
          </w:p>
        </w:tc>
      </w:tr>
      <w:tr w:rsidR="00FE6E66" w:rsidRPr="00B47E94" w14:paraId="75726BC3"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pPr>
              <w:spacing w:after="60"/>
              <w:jc w:val="both"/>
              <w:rPr>
                <w:rFonts w:ascii="Calibri" w:hAnsi="Calibri" w:cs="Calibri"/>
                <w:b/>
                <w:sz w:val="20"/>
                <w:szCs w:val="20"/>
              </w:rPr>
            </w:pPr>
          </w:p>
          <w:p w14:paraId="63590FD4" w14:textId="77777777" w:rsidR="00FE6E66" w:rsidRPr="00B47E94" w:rsidRDefault="00FE6E66">
            <w:pPr>
              <w:spacing w:after="60"/>
              <w:jc w:val="both"/>
              <w:rPr>
                <w:rFonts w:ascii="Calibri" w:hAnsi="Calibri" w:cs="Calibri"/>
                <w:b/>
                <w:sz w:val="20"/>
                <w:szCs w:val="20"/>
              </w:rPr>
            </w:pPr>
          </w:p>
          <w:p w14:paraId="6AC134D8"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pPr>
              <w:spacing w:after="60"/>
              <w:jc w:val="both"/>
              <w:rPr>
                <w:rFonts w:ascii="Calibri" w:hAnsi="Calibri" w:cs="Calibri"/>
                <w:b/>
                <w:sz w:val="20"/>
                <w:szCs w:val="20"/>
              </w:rPr>
            </w:pPr>
          </w:p>
        </w:tc>
      </w:tr>
      <w:tr w:rsidR="00FE6E66" w:rsidRPr="00B47E94" w14:paraId="101DBD18"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pPr>
              <w:spacing w:after="60"/>
              <w:jc w:val="both"/>
              <w:rPr>
                <w:rFonts w:ascii="Calibri" w:hAnsi="Calibri" w:cs="Calibri"/>
                <w:b/>
                <w:sz w:val="20"/>
                <w:szCs w:val="20"/>
              </w:rPr>
            </w:pPr>
          </w:p>
          <w:p w14:paraId="2AC2D21D" w14:textId="77777777" w:rsidR="00FE6E66" w:rsidRPr="00B47E94" w:rsidRDefault="00FE6E66">
            <w:pPr>
              <w:spacing w:after="60"/>
              <w:jc w:val="both"/>
              <w:rPr>
                <w:rFonts w:ascii="Calibri" w:hAnsi="Calibri" w:cs="Calibri"/>
                <w:b/>
                <w:sz w:val="20"/>
                <w:szCs w:val="20"/>
              </w:rPr>
            </w:pPr>
          </w:p>
          <w:p w14:paraId="0F035989"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sans</w:t>
      </w:r>
      <w:proofErr w:type="gramEnd"/>
      <w:r>
        <w:rPr>
          <w:rFonts w:ascii="Calibri" w:hAnsi="Calibri" w:cs="Calibri"/>
          <w:b/>
          <w:i/>
        </w:rPr>
        <w:t xml:space="preserve">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lastRenderedPageBreak/>
              <w:t>Nom de l'entreprise</w:t>
            </w:r>
          </w:p>
          <w:p w14:paraId="5B15FEB3"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102" w:name="_Toc356146846"/>
      <w:bookmarkStart w:id="103" w:name="_Toc12021249"/>
      <w:bookmarkStart w:id="104" w:name="_Toc222243954"/>
      <w:r w:rsidRPr="00FA727B">
        <w:rPr>
          <w:color w:val="FFFFFF" w:themeColor="background1"/>
        </w:rPr>
        <w:t>Utilisation des résultats – Propriété Intellectuelle</w:t>
      </w:r>
      <w:bookmarkEnd w:id="102"/>
      <w:bookmarkEnd w:id="103"/>
      <w:bookmarkEnd w:id="104"/>
    </w:p>
    <w:p w14:paraId="79161774" w14:textId="2DE6AAD5"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 xml:space="preserve">te des dispositions relatives à la propriété intellectuelle, conformément au chapitre </w:t>
      </w:r>
      <w:r w:rsidR="007B2217">
        <w:rPr>
          <w:rFonts w:ascii="Calibri" w:hAnsi="Calibri"/>
          <w:sz w:val="20"/>
          <w:szCs w:val="20"/>
        </w:rPr>
        <w:t>7</w:t>
      </w:r>
      <w:r>
        <w:rPr>
          <w:rFonts w:ascii="Calibri" w:hAnsi="Calibri"/>
          <w:sz w:val="20"/>
          <w:szCs w:val="20"/>
        </w:rPr>
        <w:t xml:space="preserve"> du CCAG-</w:t>
      </w:r>
      <w:r w:rsidR="007B2217">
        <w:rPr>
          <w:rFonts w:ascii="Calibri" w:hAnsi="Calibri"/>
          <w:sz w:val="20"/>
          <w:szCs w:val="20"/>
        </w:rPr>
        <w:t xml:space="preserve">TIC </w:t>
      </w:r>
      <w:r>
        <w:rPr>
          <w:rFonts w:ascii="Calibri" w:hAnsi="Calibri"/>
          <w:sz w:val="20"/>
          <w:szCs w:val="20"/>
        </w:rPr>
        <w:t>et selon les modalités ci-dessous.</w:t>
      </w:r>
    </w:p>
    <w:p w14:paraId="086FD639" w14:textId="73E029FA"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Conformément à l’article </w:t>
      </w:r>
      <w:r w:rsidR="007B2217">
        <w:rPr>
          <w:rFonts w:ascii="Calibri" w:hAnsi="Calibri"/>
          <w:sz w:val="20"/>
          <w:szCs w:val="20"/>
        </w:rPr>
        <w:t>46.1</w:t>
      </w:r>
      <w:r w:rsidR="0096558D">
        <w:rPr>
          <w:rFonts w:ascii="Calibri" w:hAnsi="Calibri"/>
          <w:sz w:val="20"/>
          <w:szCs w:val="20"/>
        </w:rPr>
        <w:t xml:space="preserve"> du CCAG-</w:t>
      </w:r>
      <w:r w:rsidR="007B2217">
        <w:rPr>
          <w:rFonts w:ascii="Calibri" w:hAnsi="Calibri"/>
          <w:sz w:val="20"/>
          <w:szCs w:val="20"/>
        </w:rPr>
        <w:t>TIC,</w:t>
      </w:r>
      <w:r w:rsidR="0096558D">
        <w:rPr>
          <w:rFonts w:ascii="Calibri" w:hAnsi="Calibri"/>
          <w:sz w:val="20"/>
          <w:szCs w:val="20"/>
        </w:rPr>
        <w:t xml:space="preserve">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05" w:name="_Toc222243955"/>
      <w:r>
        <w:rPr>
          <w:color w:val="FFFFFF" w:themeColor="background1"/>
        </w:rPr>
        <w:t>Conditions d’exécution des prestations</w:t>
      </w:r>
      <w:r w:rsidR="007E2894">
        <w:rPr>
          <w:color w:val="FFFFFF" w:themeColor="background1"/>
        </w:rPr>
        <w:t xml:space="preserve"> et obligations du titulaire</w:t>
      </w:r>
      <w:bookmarkEnd w:id="105"/>
    </w:p>
    <w:p w14:paraId="462BA374" w14:textId="4DC3F01F" w:rsidR="00C72461" w:rsidRDefault="00C72461" w:rsidP="00D912BF">
      <w:pPr>
        <w:pStyle w:val="Titre2"/>
        <w:shd w:val="clear" w:color="auto" w:fill="auto"/>
        <w:tabs>
          <w:tab w:val="clear" w:pos="851"/>
        </w:tabs>
        <w:spacing w:before="120" w:after="120"/>
        <w:ind w:left="1418" w:hanging="1418"/>
        <w:rPr>
          <w:bCs w:val="0"/>
          <w:color w:val="683766"/>
          <w:sz w:val="22"/>
          <w:szCs w:val="22"/>
        </w:rPr>
      </w:pPr>
      <w:bookmarkStart w:id="106" w:name="_Hlk184224881"/>
      <w:bookmarkStart w:id="107" w:name="_Toc222243956"/>
      <w:r>
        <w:rPr>
          <w:bCs w:val="0"/>
          <w:color w:val="683766"/>
          <w:sz w:val="22"/>
          <w:szCs w:val="22"/>
        </w:rPr>
        <w:t>Obligation de résultat</w:t>
      </w:r>
      <w:bookmarkEnd w:id="107"/>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tabs>
          <w:tab w:val="clear" w:pos="851"/>
        </w:tabs>
        <w:spacing w:before="120" w:after="120"/>
        <w:ind w:left="1418" w:hanging="1418"/>
        <w:rPr>
          <w:bCs w:val="0"/>
          <w:color w:val="683766"/>
          <w:sz w:val="22"/>
          <w:szCs w:val="22"/>
        </w:rPr>
      </w:pPr>
      <w:bookmarkStart w:id="108" w:name="_Toc222243957"/>
      <w:r w:rsidRPr="00050F55">
        <w:rPr>
          <w:bCs w:val="0"/>
          <w:color w:val="683766"/>
          <w:sz w:val="22"/>
          <w:szCs w:val="22"/>
        </w:rPr>
        <w:t>Confidentialité</w:t>
      </w:r>
      <w:bookmarkEnd w:id="108"/>
      <w:r w:rsidRPr="00050F55">
        <w:rPr>
          <w:bCs w:val="0"/>
          <w:color w:val="683766"/>
          <w:sz w:val="22"/>
          <w:szCs w:val="22"/>
        </w:rPr>
        <w:t xml:space="preserve"> </w:t>
      </w:r>
    </w:p>
    <w:p w14:paraId="2B5FA56A" w14:textId="130ED7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7B2217">
        <w:rPr>
          <w:rFonts w:ascii="Calibri" w:hAnsi="Calibri"/>
          <w:sz w:val="20"/>
          <w:szCs w:val="20"/>
        </w:rPr>
        <w:t>TIC</w:t>
      </w:r>
      <w:r w:rsidR="00D912BF">
        <w:rPr>
          <w:rFonts w:ascii="Calibri" w:hAnsi="Calibri"/>
          <w:sz w:val="20"/>
          <w:szCs w:val="20"/>
        </w:rPr>
        <w:t xml:space="preserve">. </w:t>
      </w:r>
    </w:p>
    <w:p w14:paraId="13C25DDD" w14:textId="62408A54" w:rsidR="00270991" w:rsidRDefault="00270991" w:rsidP="006A4980">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w:t>
      </w:r>
      <w:r>
        <w:rPr>
          <w:rFonts w:ascii="Calibri" w:hAnsi="Calibri"/>
          <w:sz w:val="20"/>
          <w:szCs w:val="20"/>
        </w:rPr>
        <w:lastRenderedPageBreak/>
        <w:t xml:space="preserve">auront connaissance durant l’exécution de l’accord-cadre. </w:t>
      </w:r>
      <w:r w:rsidR="006A4980">
        <w:rPr>
          <w:rFonts w:ascii="Calibri" w:hAnsi="Calibri"/>
          <w:sz w:val="20"/>
          <w:szCs w:val="20"/>
        </w:rPr>
        <w:t>L’</w:t>
      </w:r>
      <w:r w:rsidR="006A4980" w:rsidRPr="006A4980">
        <w:rPr>
          <w:rFonts w:ascii="Calibri" w:hAnsi="Calibri"/>
          <w:sz w:val="20"/>
          <w:szCs w:val="20"/>
        </w:rPr>
        <w:t>obligation de confidentialit</w:t>
      </w:r>
      <w:r w:rsidR="006A4980" w:rsidRPr="006A4980">
        <w:rPr>
          <w:rFonts w:ascii="Calibri" w:hAnsi="Calibri" w:hint="cs"/>
          <w:sz w:val="20"/>
          <w:szCs w:val="20"/>
        </w:rPr>
        <w:t>é</w:t>
      </w:r>
      <w:r w:rsidR="006A4980">
        <w:rPr>
          <w:rFonts w:ascii="Calibri" w:hAnsi="Calibri"/>
          <w:sz w:val="20"/>
          <w:szCs w:val="20"/>
        </w:rPr>
        <w:t xml:space="preserve"> </w:t>
      </w:r>
      <w:r w:rsidR="006A4980" w:rsidRPr="006A4980">
        <w:rPr>
          <w:rFonts w:ascii="Calibri" w:hAnsi="Calibri"/>
          <w:sz w:val="20"/>
          <w:szCs w:val="20"/>
        </w:rPr>
        <w:t>s</w:t>
      </w:r>
      <w:r w:rsidR="006A4980" w:rsidRPr="006A4980">
        <w:rPr>
          <w:rFonts w:ascii="Calibri" w:hAnsi="Calibri" w:hint="cs"/>
          <w:sz w:val="20"/>
          <w:szCs w:val="20"/>
        </w:rPr>
        <w:t>’</w:t>
      </w:r>
      <w:r w:rsidR="006A4980" w:rsidRPr="006A4980">
        <w:rPr>
          <w:rFonts w:ascii="Calibri" w:hAnsi="Calibri"/>
          <w:sz w:val="20"/>
          <w:szCs w:val="20"/>
        </w:rPr>
        <w:t xml:space="preserve">impose </w:t>
      </w:r>
      <w:r w:rsidR="006A4980">
        <w:rPr>
          <w:rFonts w:ascii="Calibri" w:hAnsi="Calibri"/>
          <w:sz w:val="20"/>
          <w:szCs w:val="20"/>
        </w:rPr>
        <w:t xml:space="preserve">donc </w:t>
      </w:r>
      <w:r w:rsidR="006A4980" w:rsidRPr="006A4980">
        <w:rPr>
          <w:rFonts w:ascii="Calibri" w:hAnsi="Calibri"/>
          <w:sz w:val="20"/>
          <w:szCs w:val="20"/>
        </w:rPr>
        <w:t xml:space="preserve">au Titulaire comme </w:t>
      </w:r>
      <w:r w:rsidR="006A4980" w:rsidRPr="006A4980">
        <w:rPr>
          <w:rFonts w:ascii="Calibri" w:hAnsi="Calibri" w:hint="cs"/>
          <w:sz w:val="20"/>
          <w:szCs w:val="20"/>
        </w:rPr>
        <w:t>à</w:t>
      </w:r>
      <w:r w:rsidR="006A4980" w:rsidRPr="006A4980">
        <w:rPr>
          <w:rFonts w:ascii="Calibri" w:hAnsi="Calibri"/>
          <w:sz w:val="20"/>
          <w:szCs w:val="20"/>
        </w:rPr>
        <w:t xml:space="preserve"> ses sous-traitants.</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4F97A416" w:rsidR="007E2894" w:rsidRDefault="007E2894" w:rsidP="0049011B">
      <w:pPr>
        <w:spacing w:before="120" w:after="120" w:line="240" w:lineRule="auto"/>
        <w:jc w:val="both"/>
        <w:rPr>
          <w:rFonts w:ascii="Calibri" w:hAnsi="Calibri"/>
          <w:sz w:val="20"/>
          <w:szCs w:val="20"/>
        </w:rPr>
      </w:pPr>
      <w:r>
        <w:rPr>
          <w:rFonts w:ascii="Calibri" w:hAnsi="Calibri"/>
          <w:sz w:val="20"/>
          <w:szCs w:val="20"/>
        </w:rPr>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w:t>
      </w:r>
      <w:r w:rsidR="00D465C9">
        <w:rPr>
          <w:rFonts w:ascii="Calibri" w:hAnsi="Calibri"/>
          <w:sz w:val="20"/>
          <w:szCs w:val="20"/>
        </w:rPr>
        <w:t>e</w:t>
      </w:r>
      <w:r w:rsidR="008A6B74">
        <w:rPr>
          <w:rFonts w:ascii="Calibri" w:hAnsi="Calibri"/>
          <w:sz w:val="20"/>
          <w:szCs w:val="20"/>
        </w:rPr>
        <w:t>s, publié</w:t>
      </w:r>
      <w:r w:rsidR="00D465C9">
        <w:rPr>
          <w:rFonts w:ascii="Calibri" w:hAnsi="Calibri"/>
          <w:sz w:val="20"/>
          <w:szCs w:val="20"/>
        </w:rPr>
        <w:t>e</w:t>
      </w:r>
      <w:r w:rsidR="008A6B74">
        <w:rPr>
          <w:rFonts w:ascii="Calibri" w:hAnsi="Calibri"/>
          <w:sz w:val="20"/>
          <w:szCs w:val="20"/>
        </w:rPr>
        <w:t>s, communiqué</w:t>
      </w:r>
      <w:r w:rsidR="00D465C9">
        <w:rPr>
          <w:rFonts w:ascii="Calibri" w:hAnsi="Calibri"/>
          <w:sz w:val="20"/>
          <w:szCs w:val="20"/>
        </w:rPr>
        <w:t>e</w:t>
      </w:r>
      <w:r w:rsidR="008A6B74">
        <w:rPr>
          <w:rFonts w:ascii="Calibri" w:hAnsi="Calibri"/>
          <w:sz w:val="20"/>
          <w:szCs w:val="20"/>
        </w:rPr>
        <w:t>s à des tiers ou être utilisé</w:t>
      </w:r>
      <w:r w:rsidR="00D465C9">
        <w:rPr>
          <w:rFonts w:ascii="Calibri" w:hAnsi="Calibri"/>
          <w:sz w:val="20"/>
          <w:szCs w:val="20"/>
        </w:rPr>
        <w:t>e</w:t>
      </w:r>
      <w:r w:rsidR="008A6B74">
        <w:rPr>
          <w:rFonts w:ascii="Calibri" w:hAnsi="Calibri"/>
          <w:sz w:val="20"/>
          <w:szCs w:val="20"/>
        </w:rPr>
        <w:t xml:space="preserve">s directement par le titulaire, hors du présent accord-cadre ou à l’issue de son exécution. </w:t>
      </w:r>
    </w:p>
    <w:p w14:paraId="3F93F7AF" w14:textId="61E0A972"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w:t>
      </w:r>
      <w:r w:rsidR="0050401B">
        <w:rPr>
          <w:rFonts w:ascii="Calibri" w:hAnsi="Calibri"/>
          <w:sz w:val="20"/>
          <w:szCs w:val="20"/>
        </w:rPr>
        <w:t xml:space="preserve">s </w:t>
      </w:r>
      <w:r w:rsidRPr="00FC3402">
        <w:rPr>
          <w:rFonts w:ascii="Calibri" w:hAnsi="Calibri"/>
          <w:sz w:val="20"/>
          <w:szCs w:val="20"/>
        </w:rPr>
        <w:t>article</w:t>
      </w:r>
      <w:r w:rsidR="0050401B">
        <w:rPr>
          <w:rFonts w:ascii="Calibri" w:hAnsi="Calibri"/>
          <w:sz w:val="20"/>
          <w:szCs w:val="20"/>
        </w:rPr>
        <w:t>s</w:t>
      </w:r>
      <w:r w:rsidRPr="00FC3402">
        <w:rPr>
          <w:rFonts w:ascii="Calibri" w:hAnsi="Calibri"/>
          <w:sz w:val="20"/>
          <w:szCs w:val="20"/>
        </w:rPr>
        <w:t xml:space="preserve"> </w:t>
      </w:r>
      <w:r w:rsidR="0050401B" w:rsidRPr="0050401B">
        <w:rPr>
          <w:rFonts w:ascii="Calibri" w:hAnsi="Calibri"/>
          <w:sz w:val="20"/>
          <w:szCs w:val="20"/>
        </w:rPr>
        <w:t>226-13 et 226-21</w:t>
      </w:r>
      <w:r w:rsidR="0050401B" w:rsidRPr="0050401B" w:rsidDel="0050401B">
        <w:rPr>
          <w:rFonts w:ascii="Calibri" w:hAnsi="Calibri"/>
          <w:sz w:val="20"/>
          <w:szCs w:val="20"/>
        </w:rPr>
        <w:t xml:space="preserve"> </w:t>
      </w:r>
      <w:r w:rsidRPr="00FC3402">
        <w:rPr>
          <w:rFonts w:ascii="Calibri" w:hAnsi="Calibri"/>
          <w:sz w:val="20"/>
          <w:szCs w:val="20"/>
        </w:rPr>
        <w:t>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w:t>
      </w:r>
      <w:r w:rsidR="00D465C9">
        <w:rPr>
          <w:rFonts w:ascii="Calibri" w:hAnsi="Calibri"/>
          <w:sz w:val="20"/>
          <w:szCs w:val="20"/>
        </w:rPr>
        <w:t>7</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7CBE3596" w14:textId="4CE16369" w:rsidR="0050401B" w:rsidRDefault="0050401B" w:rsidP="0049011B">
      <w:pPr>
        <w:spacing w:before="120" w:after="120" w:line="240" w:lineRule="auto"/>
        <w:jc w:val="both"/>
        <w:rPr>
          <w:rFonts w:ascii="Calibri" w:hAnsi="Calibri"/>
          <w:sz w:val="20"/>
          <w:szCs w:val="20"/>
        </w:rPr>
      </w:pPr>
      <w:r w:rsidRPr="0050401B">
        <w:rPr>
          <w:rFonts w:ascii="Calibri" w:hAnsi="Calibri"/>
          <w:sz w:val="20"/>
          <w:szCs w:val="20"/>
        </w:rPr>
        <w:t>Le Titulaire informe ses sous-traitants de ces obligations de confidentialit</w:t>
      </w:r>
      <w:r w:rsidRPr="0050401B">
        <w:rPr>
          <w:rFonts w:ascii="Calibri" w:hAnsi="Calibri" w:hint="cs"/>
          <w:sz w:val="20"/>
          <w:szCs w:val="20"/>
        </w:rPr>
        <w:t>é</w:t>
      </w:r>
      <w:r w:rsidRPr="0050401B">
        <w:rPr>
          <w:rFonts w:ascii="Calibri" w:hAnsi="Calibri"/>
          <w:sz w:val="20"/>
          <w:szCs w:val="20"/>
        </w:rPr>
        <w:t>.</w:t>
      </w:r>
    </w:p>
    <w:p w14:paraId="6B4F6E0B" w14:textId="3B5FD18A" w:rsidR="00270991" w:rsidRPr="00050F55" w:rsidRDefault="00270991" w:rsidP="00270991">
      <w:pPr>
        <w:pStyle w:val="Titre2"/>
        <w:shd w:val="clear" w:color="auto" w:fill="auto"/>
        <w:tabs>
          <w:tab w:val="clear" w:pos="851"/>
        </w:tabs>
        <w:spacing w:before="120" w:after="120"/>
        <w:ind w:left="1418" w:hanging="1418"/>
        <w:rPr>
          <w:bCs w:val="0"/>
          <w:color w:val="683766"/>
          <w:sz w:val="22"/>
          <w:szCs w:val="22"/>
        </w:rPr>
      </w:pPr>
      <w:bookmarkStart w:id="109" w:name="_Toc222243958"/>
      <w:r w:rsidRPr="00050F55">
        <w:rPr>
          <w:bCs w:val="0"/>
          <w:color w:val="683766"/>
          <w:sz w:val="22"/>
          <w:szCs w:val="22"/>
        </w:rPr>
        <w:t>Secret professionnel</w:t>
      </w:r>
      <w:bookmarkEnd w:id="109"/>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tabs>
          <w:tab w:val="clear" w:pos="851"/>
        </w:tabs>
        <w:spacing w:before="120" w:after="120"/>
        <w:ind w:left="1418" w:hanging="1418"/>
        <w:rPr>
          <w:bCs w:val="0"/>
          <w:color w:val="683766"/>
          <w:sz w:val="22"/>
          <w:szCs w:val="22"/>
        </w:rPr>
      </w:pPr>
      <w:bookmarkStart w:id="110" w:name="_Toc222243959"/>
      <w:r w:rsidRPr="00050F55">
        <w:rPr>
          <w:bCs w:val="0"/>
          <w:color w:val="683766"/>
          <w:sz w:val="22"/>
          <w:szCs w:val="22"/>
        </w:rPr>
        <w:t>Protection de la main d’œuvre et conditions de travail</w:t>
      </w:r>
      <w:bookmarkEnd w:id="110"/>
      <w:r w:rsidRPr="00050F55">
        <w:rPr>
          <w:bCs w:val="0"/>
          <w:color w:val="683766"/>
          <w:sz w:val="22"/>
          <w:szCs w:val="22"/>
        </w:rPr>
        <w:t xml:space="preserve"> </w:t>
      </w:r>
    </w:p>
    <w:p w14:paraId="05AFCA33" w14:textId="7529332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7B2217">
        <w:rPr>
          <w:rFonts w:ascii="Calibri" w:hAnsi="Calibri"/>
          <w:sz w:val="20"/>
          <w:szCs w:val="20"/>
        </w:rPr>
        <w:t>TIC.</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0D012262"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7B2217">
        <w:rPr>
          <w:rFonts w:ascii="Calibri" w:hAnsi="Calibri"/>
          <w:sz w:val="20"/>
          <w:szCs w:val="20"/>
        </w:rPr>
        <w:t>TIC</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tabs>
          <w:tab w:val="clear" w:pos="851"/>
        </w:tabs>
        <w:spacing w:before="120" w:after="120"/>
        <w:ind w:left="1418" w:hanging="1418"/>
        <w:rPr>
          <w:bCs w:val="0"/>
          <w:color w:val="683766"/>
          <w:sz w:val="22"/>
          <w:szCs w:val="22"/>
        </w:rPr>
      </w:pPr>
      <w:bookmarkStart w:id="111" w:name="_Toc222243960"/>
      <w:r w:rsidRPr="00340A6C">
        <w:rPr>
          <w:bCs w:val="0"/>
          <w:color w:val="683766"/>
          <w:sz w:val="22"/>
          <w:szCs w:val="22"/>
        </w:rPr>
        <w:t>Responsabilité du titulaire</w:t>
      </w:r>
      <w:bookmarkEnd w:id="111"/>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tabs>
          <w:tab w:val="clear" w:pos="851"/>
        </w:tabs>
        <w:spacing w:before="120" w:after="120"/>
        <w:ind w:left="1418" w:hanging="1418"/>
        <w:rPr>
          <w:bCs w:val="0"/>
          <w:color w:val="683766"/>
          <w:sz w:val="22"/>
          <w:szCs w:val="22"/>
        </w:rPr>
      </w:pPr>
      <w:bookmarkStart w:id="112" w:name="_Toc222243961"/>
      <w:r>
        <w:rPr>
          <w:bCs w:val="0"/>
          <w:color w:val="683766"/>
          <w:sz w:val="22"/>
          <w:szCs w:val="22"/>
        </w:rPr>
        <w:t>Protection de l’environnement</w:t>
      </w:r>
      <w:bookmarkEnd w:id="112"/>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lastRenderedPageBreak/>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46C446E2" w:rsidR="008A6B74" w:rsidRDefault="00C72461" w:rsidP="00C72461">
      <w:pPr>
        <w:spacing w:before="120" w:after="120" w:line="240" w:lineRule="auto"/>
        <w:jc w:val="both"/>
        <w:rPr>
          <w:rFonts w:ascii="Calibri" w:hAnsi="Calibri"/>
          <w:sz w:val="20"/>
          <w:szCs w:val="20"/>
        </w:rPr>
      </w:pPr>
      <w:r w:rsidRPr="00C72461">
        <w:rPr>
          <w:rFonts w:ascii="Calibri" w:hAnsi="Calibri"/>
          <w:sz w:val="20"/>
          <w:szCs w:val="20"/>
        </w:rPr>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 xml:space="preserve">article </w:t>
      </w:r>
      <w:r w:rsidR="007B2217">
        <w:rPr>
          <w:rFonts w:ascii="Calibri" w:hAnsi="Calibri"/>
          <w:sz w:val="20"/>
          <w:szCs w:val="20"/>
        </w:rPr>
        <w:t>13</w:t>
      </w:r>
      <w:r w:rsidRPr="00C72461">
        <w:rPr>
          <w:rFonts w:ascii="Calibri" w:hAnsi="Calibri"/>
          <w:sz w:val="20"/>
          <w:szCs w:val="20"/>
        </w:rPr>
        <w:t xml:space="preserve"> du pr</w:t>
      </w:r>
      <w:r w:rsidRPr="00C72461">
        <w:rPr>
          <w:rFonts w:ascii="Calibri" w:hAnsi="Calibri" w:hint="cs"/>
          <w:sz w:val="20"/>
          <w:szCs w:val="20"/>
        </w:rPr>
        <w:t>é</w:t>
      </w:r>
      <w:r w:rsidRPr="00C72461">
        <w:rPr>
          <w:rFonts w:ascii="Calibri" w:hAnsi="Calibri"/>
          <w:sz w:val="20"/>
          <w:szCs w:val="20"/>
        </w:rPr>
        <w:t xml:space="preserve">sent </w:t>
      </w:r>
      <w:r w:rsidR="007B2217">
        <w:rPr>
          <w:rFonts w:ascii="Calibri" w:hAnsi="Calibri"/>
          <w:sz w:val="20"/>
          <w:szCs w:val="20"/>
        </w:rPr>
        <w:t xml:space="preserve">document. </w:t>
      </w:r>
    </w:p>
    <w:p w14:paraId="11794D13" w14:textId="517DDC85" w:rsidR="008B0B67" w:rsidRDefault="008B0B67" w:rsidP="008B0B67">
      <w:pPr>
        <w:pStyle w:val="Titre2"/>
        <w:shd w:val="clear" w:color="auto" w:fill="auto"/>
        <w:tabs>
          <w:tab w:val="clear" w:pos="851"/>
        </w:tabs>
        <w:spacing w:before="120" w:after="120"/>
        <w:ind w:left="1418" w:hanging="1418"/>
        <w:jc w:val="both"/>
        <w:rPr>
          <w:bCs w:val="0"/>
          <w:color w:val="683766"/>
          <w:sz w:val="22"/>
          <w:szCs w:val="22"/>
        </w:rPr>
      </w:pPr>
      <w:bookmarkStart w:id="113" w:name="_Toc222243962"/>
      <w:r>
        <w:rPr>
          <w:bCs w:val="0"/>
          <w:color w:val="683766"/>
          <w:sz w:val="22"/>
          <w:szCs w:val="22"/>
        </w:rPr>
        <w:t>Procédure de maintien en condition de sécurité</w:t>
      </w:r>
      <w:bookmarkEnd w:id="113"/>
    </w:p>
    <w:p w14:paraId="285DBF55" w14:textId="4C3A2D6A" w:rsidR="00740399" w:rsidRPr="00D71121" w:rsidRDefault="008B0B67" w:rsidP="00D71121">
      <w:pPr>
        <w:spacing w:before="240"/>
        <w:ind w:left="993"/>
        <w:jc w:val="both"/>
        <w:rPr>
          <w:bCs/>
          <w:color w:val="FFC000"/>
          <w:sz w:val="20"/>
          <w:szCs w:val="20"/>
        </w:rPr>
      </w:pPr>
      <w:r>
        <w:rPr>
          <w:b/>
          <w:bCs/>
          <w:color w:val="FFC000"/>
          <w:sz w:val="20"/>
          <w:szCs w:val="20"/>
        </w:rPr>
        <w:t xml:space="preserve">11.7.1 </w:t>
      </w:r>
      <w:r w:rsidR="00740399" w:rsidRPr="00D71121">
        <w:rPr>
          <w:b/>
          <w:bCs/>
          <w:color w:val="FFC000"/>
          <w:sz w:val="20"/>
          <w:szCs w:val="20"/>
        </w:rPr>
        <w:t xml:space="preserve">Information sur les vulnérabilités et les incidents de sécurité détectés sur le système d’information du titulaire </w:t>
      </w:r>
    </w:p>
    <w:p w14:paraId="2F81D527" w14:textId="4D685C9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5.4 du CCAG</w:t>
      </w:r>
      <w:r w:rsidR="004D46E0">
        <w:rPr>
          <w:rFonts w:ascii="Calibri" w:hAnsi="Calibri"/>
          <w:sz w:val="20"/>
          <w:szCs w:val="20"/>
        </w:rPr>
        <w:t>-</w:t>
      </w:r>
      <w:r w:rsidRPr="00740399">
        <w:rPr>
          <w:rFonts w:ascii="Calibri" w:hAnsi="Calibri"/>
          <w:sz w:val="20"/>
          <w:szCs w:val="20"/>
        </w:rPr>
        <w:t>TIC, pour les prestations, produits et services fournis dans le cadre du marché, le titulaire met à disposition un dispositif d'information dédié à la sécurité informatique (notamment flux RSS/ATOM, liste de diffusion par courriel ou autre).</w:t>
      </w:r>
    </w:p>
    <w:p w14:paraId="22DB18A1" w14:textId="77777777" w:rsid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Ce dispositif vise à tenir l'acheteur informé des événements et changements impactant la sécurité, notamment liés à la connaissance d'une vulnérabilité impactant le système (annonce de correctif, attaque en cours, violation de données à caractère personnel si le traitement de données est sous-traité au titulaire), et des mesures correctives ou conservatoires à appliquer.</w:t>
      </w:r>
    </w:p>
    <w:p w14:paraId="29200098" w14:textId="4E7A0AD3" w:rsidR="008B0B67" w:rsidRPr="00D71121" w:rsidRDefault="008B0B67" w:rsidP="00D71121">
      <w:pPr>
        <w:spacing w:before="120" w:after="120" w:line="240" w:lineRule="auto"/>
        <w:ind w:left="993"/>
        <w:jc w:val="both"/>
        <w:rPr>
          <w:b/>
          <w:bCs/>
          <w:color w:val="FFC000"/>
          <w:sz w:val="20"/>
          <w:szCs w:val="20"/>
        </w:rPr>
      </w:pPr>
      <w:r w:rsidRPr="00D71121">
        <w:rPr>
          <w:b/>
          <w:bCs/>
          <w:color w:val="FFC000"/>
          <w:sz w:val="20"/>
          <w:szCs w:val="20"/>
        </w:rPr>
        <w:t xml:space="preserve">11.7.2 Application des correctifs </w:t>
      </w:r>
      <w:r>
        <w:rPr>
          <w:b/>
          <w:bCs/>
          <w:color w:val="FFC000"/>
          <w:sz w:val="20"/>
          <w:szCs w:val="20"/>
        </w:rPr>
        <w:t>et gestion des interventions</w:t>
      </w:r>
    </w:p>
    <w:p w14:paraId="0C8A9D9B" w14:textId="34A332B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 xml:space="preserve">Le titulaire doit garantir que les correctifs de sécurité sont validés avant leur déploiement pour éviter toute régression des fonctions de sécurité. Chaque correctif doit être dédié à </w:t>
      </w:r>
      <w:proofErr w:type="gramStart"/>
      <w:r w:rsidRPr="008B0B67">
        <w:rPr>
          <w:rFonts w:ascii="Calibri" w:hAnsi="Calibri"/>
          <w:sz w:val="20"/>
          <w:szCs w:val="20"/>
        </w:rPr>
        <w:t>une vulnérabilité spécifique et validé</w:t>
      </w:r>
      <w:proofErr w:type="gramEnd"/>
      <w:r>
        <w:rPr>
          <w:rFonts w:ascii="Calibri" w:hAnsi="Calibri"/>
          <w:sz w:val="20"/>
          <w:szCs w:val="20"/>
        </w:rPr>
        <w:t xml:space="preserve">. </w:t>
      </w:r>
    </w:p>
    <w:p w14:paraId="59B61BC9" w14:textId="31D1241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Une procédure de gestion des interventions doit être mise en place pour identifier les actions réalisées, les équipements modifiés ou remplacés, ainsi que les impacts des modifications</w:t>
      </w:r>
      <w:r>
        <w:rPr>
          <w:rFonts w:ascii="Calibri" w:hAnsi="Calibri"/>
          <w:sz w:val="20"/>
          <w:szCs w:val="20"/>
        </w:rPr>
        <w:t xml:space="preserve">. </w:t>
      </w:r>
    </w:p>
    <w:p w14:paraId="7DA2F601" w14:textId="381DB5E5" w:rsidR="6351BA59" w:rsidRDefault="6351BA59" w:rsidP="6351BA59">
      <w:pPr>
        <w:spacing w:before="120" w:after="120" w:line="240" w:lineRule="auto"/>
        <w:jc w:val="both"/>
        <w:rPr>
          <w:rFonts w:ascii="Calibri" w:hAnsi="Calibri"/>
          <w:sz w:val="20"/>
          <w:szCs w:val="20"/>
        </w:rPr>
      </w:pPr>
    </w:p>
    <w:p w14:paraId="5C8A0469" w14:textId="685A3DD0" w:rsidR="008B0B67" w:rsidRDefault="008B0B67" w:rsidP="008B0B67">
      <w:pPr>
        <w:pStyle w:val="Titre2"/>
        <w:shd w:val="clear" w:color="auto" w:fill="auto"/>
        <w:tabs>
          <w:tab w:val="clear" w:pos="851"/>
        </w:tabs>
        <w:spacing w:before="120" w:after="120"/>
        <w:ind w:left="1418" w:hanging="1418"/>
        <w:jc w:val="both"/>
        <w:rPr>
          <w:bCs w:val="0"/>
          <w:color w:val="683766"/>
          <w:sz w:val="22"/>
          <w:szCs w:val="22"/>
        </w:rPr>
      </w:pPr>
      <w:bookmarkStart w:id="114" w:name="_Toc222243963"/>
      <w:r w:rsidRPr="00D71121">
        <w:rPr>
          <w:bCs w:val="0"/>
          <w:color w:val="683766"/>
          <w:sz w:val="22"/>
          <w:szCs w:val="22"/>
        </w:rPr>
        <w:t xml:space="preserve">Inventaire des </w:t>
      </w:r>
      <w:r w:rsidR="00D97CA6">
        <w:rPr>
          <w:bCs w:val="0"/>
          <w:color w:val="683766"/>
          <w:sz w:val="22"/>
          <w:szCs w:val="22"/>
        </w:rPr>
        <w:t>composants techniques et logiciels</w:t>
      </w:r>
      <w:bookmarkEnd w:id="114"/>
      <w:r w:rsidRPr="00D71121">
        <w:rPr>
          <w:bCs w:val="0"/>
          <w:color w:val="683766"/>
          <w:sz w:val="22"/>
          <w:szCs w:val="22"/>
        </w:rPr>
        <w:t xml:space="preserve"> </w:t>
      </w:r>
    </w:p>
    <w:p w14:paraId="4496A0F8" w14:textId="4527E18F" w:rsidR="008B0B67" w:rsidRDefault="008B0B67" w:rsidP="008B0B67">
      <w:pPr>
        <w:jc w:val="both"/>
        <w:rPr>
          <w:rFonts w:ascii="Calibri" w:hAnsi="Calibri"/>
          <w:sz w:val="20"/>
          <w:szCs w:val="20"/>
        </w:rPr>
      </w:pPr>
      <w:r w:rsidRPr="00D71121">
        <w:rPr>
          <w:rFonts w:ascii="Calibri" w:hAnsi="Calibri"/>
          <w:sz w:val="20"/>
          <w:szCs w:val="20"/>
        </w:rPr>
        <w:t xml:space="preserve">Afin de garantir la traçabilité et la conformité des composants utilisés, le titulaire </w:t>
      </w:r>
      <w:r>
        <w:rPr>
          <w:rFonts w:ascii="Calibri" w:hAnsi="Calibri"/>
          <w:sz w:val="20"/>
          <w:szCs w:val="20"/>
        </w:rPr>
        <w:t>met en place</w:t>
      </w:r>
      <w:r w:rsidRPr="00D71121">
        <w:rPr>
          <w:rFonts w:ascii="Calibri" w:hAnsi="Calibri"/>
          <w:sz w:val="20"/>
          <w:szCs w:val="20"/>
        </w:rPr>
        <w:t xml:space="preserve"> une procédure de gestion des interventions pour identifier les actions réalisées, les équipements modifiés ou remplacés, ainsi que les impacts des modifications</w:t>
      </w:r>
      <w:r>
        <w:rPr>
          <w:rFonts w:ascii="Calibri" w:hAnsi="Calibri"/>
          <w:sz w:val="20"/>
          <w:szCs w:val="20"/>
        </w:rPr>
        <w:t xml:space="preserve">. Il vérifie également que les licences des logiciels, y compris ceux en open source, permettent leur utilisation prévue, sans frais additionnels. </w:t>
      </w:r>
    </w:p>
    <w:p w14:paraId="0BAE8E1C" w14:textId="639786F5" w:rsidR="008B0B67" w:rsidRPr="008B0B67" w:rsidRDefault="008B0B67" w:rsidP="00D71121">
      <w:pPr>
        <w:jc w:val="both"/>
        <w:rPr>
          <w:rFonts w:ascii="Calibri" w:hAnsi="Calibri"/>
          <w:sz w:val="20"/>
          <w:szCs w:val="20"/>
        </w:rPr>
      </w:pPr>
      <w:r>
        <w:rPr>
          <w:rFonts w:ascii="Calibri" w:hAnsi="Calibri"/>
          <w:sz w:val="20"/>
          <w:szCs w:val="20"/>
        </w:rPr>
        <w:t xml:space="preserve">Dans ce cadre, chaque logiciel livré doit être accompagné d’une documentation technique en langue française, précisant les modalités de mise en fonction et d’utilisation. </w:t>
      </w:r>
    </w:p>
    <w:p w14:paraId="4A4C9BB3" w14:textId="6BEA111A" w:rsidR="00740399" w:rsidRPr="00740399" w:rsidRDefault="00740399" w:rsidP="00740399">
      <w:pPr>
        <w:pStyle w:val="Titre2"/>
        <w:shd w:val="clear" w:color="auto" w:fill="auto"/>
        <w:tabs>
          <w:tab w:val="clear" w:pos="851"/>
        </w:tabs>
        <w:spacing w:before="120" w:after="120"/>
        <w:ind w:left="1418" w:hanging="1418"/>
        <w:rPr>
          <w:bCs w:val="0"/>
          <w:color w:val="683766"/>
          <w:sz w:val="22"/>
          <w:szCs w:val="22"/>
        </w:rPr>
      </w:pPr>
      <w:bookmarkStart w:id="115" w:name="_Toc222243964"/>
      <w:r w:rsidRPr="00740399">
        <w:rPr>
          <w:bCs w:val="0"/>
          <w:color w:val="683766"/>
          <w:sz w:val="22"/>
          <w:szCs w:val="22"/>
        </w:rPr>
        <w:t>Devoir de conseil</w:t>
      </w:r>
      <w:bookmarkEnd w:id="115"/>
      <w:r w:rsidRPr="00740399">
        <w:rPr>
          <w:bCs w:val="0"/>
          <w:color w:val="683766"/>
          <w:sz w:val="22"/>
          <w:szCs w:val="22"/>
        </w:rPr>
        <w:t xml:space="preserve"> </w:t>
      </w:r>
    </w:p>
    <w:p w14:paraId="77FDF93E" w14:textId="413B59EC"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3.</w:t>
      </w:r>
      <w:r w:rsidR="0077425E">
        <w:rPr>
          <w:rFonts w:ascii="Calibri" w:hAnsi="Calibri"/>
          <w:sz w:val="20"/>
          <w:szCs w:val="20"/>
        </w:rPr>
        <w:t xml:space="preserve">9 </w:t>
      </w:r>
      <w:r w:rsidRPr="00740399">
        <w:rPr>
          <w:rFonts w:ascii="Calibri" w:hAnsi="Calibri"/>
          <w:sz w:val="20"/>
          <w:szCs w:val="20"/>
        </w:rPr>
        <w:t>du CCAG</w:t>
      </w:r>
      <w:r w:rsidR="00F25C2B">
        <w:rPr>
          <w:rFonts w:ascii="Calibri" w:hAnsi="Calibri"/>
          <w:sz w:val="20"/>
          <w:szCs w:val="20"/>
        </w:rPr>
        <w:t>-</w:t>
      </w:r>
      <w:r w:rsidRPr="00740399">
        <w:rPr>
          <w:rFonts w:ascii="Calibri" w:hAnsi="Calibri"/>
          <w:sz w:val="20"/>
          <w:szCs w:val="20"/>
        </w:rPr>
        <w:t>TIC, le titulaire est tenu à une obligation permanente de conseil et de mise en garde, relative aux matériels, logiciels et prestations fournies à l'acheteur. Dans ce cadre, le titulaire communique notamment à l'acheteur toute information permettant d'améliorer le niveau de sécurité du système d'information et signale les difficultés et risques que certains choix peuvent entraîner dès lors que cette information relève des prestations objet du marché. Dans l'hypothèse où le titulaire ne respecte pas cette obligation, il ne peut se prévaloir d'une incohérence dans le marché pour s'exonérer de sa responsabilité.</w:t>
      </w:r>
    </w:p>
    <w:p w14:paraId="654FA9D8" w14:textId="6C1F033D" w:rsidR="00740399" w:rsidRPr="00740399" w:rsidRDefault="00740399" w:rsidP="00740399">
      <w:pPr>
        <w:pStyle w:val="Titre2"/>
        <w:shd w:val="clear" w:color="auto" w:fill="auto"/>
        <w:tabs>
          <w:tab w:val="clear" w:pos="851"/>
        </w:tabs>
        <w:spacing w:before="120" w:after="120"/>
        <w:ind w:left="1418" w:hanging="1418"/>
        <w:rPr>
          <w:bCs w:val="0"/>
          <w:color w:val="683766"/>
          <w:sz w:val="22"/>
          <w:szCs w:val="22"/>
        </w:rPr>
      </w:pPr>
      <w:bookmarkStart w:id="116" w:name="_Toc222243965"/>
      <w:r w:rsidRPr="00740399">
        <w:rPr>
          <w:bCs w:val="0"/>
          <w:color w:val="683766"/>
          <w:sz w:val="22"/>
          <w:szCs w:val="22"/>
        </w:rPr>
        <w:t>Mises à jour et nouvelles versions de logiciels – Documentation technique</w:t>
      </w:r>
      <w:bookmarkEnd w:id="116"/>
    </w:p>
    <w:p w14:paraId="3C33BA15" w14:textId="77777777"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L’article 22 du CCAG-TIC s’applique.</w:t>
      </w:r>
    </w:p>
    <w:p w14:paraId="760A7EEB" w14:textId="7CDB18EB" w:rsidR="004475F6" w:rsidRDefault="00C12207" w:rsidP="0049011B">
      <w:pPr>
        <w:pStyle w:val="Titre1"/>
        <w:shd w:val="clear" w:color="auto" w:fill="DC8C00"/>
        <w:contextualSpacing/>
        <w:rPr>
          <w:color w:val="FFFFFF" w:themeColor="background1"/>
        </w:rPr>
      </w:pPr>
      <w:bookmarkStart w:id="117" w:name="_Toc5114886"/>
      <w:bookmarkStart w:id="118" w:name="_Toc6412956"/>
      <w:bookmarkStart w:id="119" w:name="_Hlk184224930"/>
      <w:bookmarkStart w:id="120" w:name="_Toc222243966"/>
      <w:bookmarkEnd w:id="106"/>
      <w:r>
        <w:rPr>
          <w:color w:val="FFFFFF" w:themeColor="background1"/>
        </w:rPr>
        <w:t>Traitement et p</w:t>
      </w:r>
      <w:r w:rsidR="004475F6" w:rsidRPr="002336AB">
        <w:rPr>
          <w:color w:val="FFFFFF" w:themeColor="background1"/>
        </w:rPr>
        <w:t>rotection des données personnelles</w:t>
      </w:r>
      <w:bookmarkEnd w:id="117"/>
      <w:bookmarkEnd w:id="118"/>
      <w:bookmarkEnd w:id="120"/>
    </w:p>
    <w:p w14:paraId="16886EC5" w14:textId="0B4D0F3E" w:rsidR="001467E1" w:rsidRP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t xml:space="preserve">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w:t>
      </w:r>
      <w:r w:rsidRPr="004D2E92">
        <w:rPr>
          <w:rFonts w:ascii="Calibri" w:hAnsi="Calibri"/>
          <w:b/>
          <w:bCs/>
          <w:sz w:val="20"/>
          <w:szCs w:val="20"/>
        </w:rPr>
        <w:t>ainsi que les dispositions prévues à l’article 5.2 du CCAG</w:t>
      </w:r>
      <w:r w:rsidR="007B2217" w:rsidRPr="004D2E92">
        <w:rPr>
          <w:rFonts w:ascii="Calibri" w:hAnsi="Calibri"/>
          <w:b/>
          <w:bCs/>
          <w:sz w:val="20"/>
          <w:szCs w:val="20"/>
        </w:rPr>
        <w:t>-TIC</w:t>
      </w:r>
      <w:r w:rsidRPr="004D2E92">
        <w:rPr>
          <w:rFonts w:ascii="Calibri" w:hAnsi="Calibri"/>
          <w:b/>
          <w:bCs/>
          <w:sz w:val="20"/>
          <w:szCs w:val="20"/>
        </w:rPr>
        <w:t>.</w:t>
      </w:r>
    </w:p>
    <w:p w14:paraId="0B0E417A" w14:textId="76C7DD78" w:rsidR="001467E1" w:rsidRP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lastRenderedPageBreak/>
        <w:t xml:space="preserve">En cas de manquements, la responsabilité personnelle du titulaire ou son sous-traitant peut être engagée conformément aux dispositions pénales de la loi Informatique et Libertés. De même, le marché pourra être résilié en application de l’article </w:t>
      </w:r>
      <w:r w:rsidR="00843FB2">
        <w:rPr>
          <w:rFonts w:ascii="Calibri" w:hAnsi="Calibri"/>
          <w:sz w:val="20"/>
          <w:szCs w:val="20"/>
        </w:rPr>
        <w:t>50</w:t>
      </w:r>
      <w:r w:rsidRPr="001467E1">
        <w:rPr>
          <w:rFonts w:ascii="Calibri" w:hAnsi="Calibri"/>
          <w:sz w:val="20"/>
          <w:szCs w:val="20"/>
        </w:rPr>
        <w:t xml:space="preserve"> du CCAG</w:t>
      </w:r>
      <w:r>
        <w:rPr>
          <w:rFonts w:ascii="Calibri" w:hAnsi="Calibri"/>
          <w:sz w:val="20"/>
          <w:szCs w:val="20"/>
        </w:rPr>
        <w:t>-</w:t>
      </w:r>
      <w:r w:rsidR="00843FB2">
        <w:rPr>
          <w:rFonts w:ascii="Calibri" w:hAnsi="Calibri"/>
          <w:sz w:val="20"/>
          <w:szCs w:val="20"/>
        </w:rPr>
        <w:t>TIC.</w:t>
      </w:r>
    </w:p>
    <w:p w14:paraId="5B4C3B36" w14:textId="57623D68" w:rsid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04CC85DD" w14:textId="604A163C" w:rsidR="004D2E92" w:rsidRPr="004D2E92" w:rsidRDefault="004D2E92" w:rsidP="004D2E92">
      <w:pPr>
        <w:pStyle w:val="Titre2"/>
        <w:shd w:val="clear" w:color="auto" w:fill="auto"/>
        <w:tabs>
          <w:tab w:val="clear" w:pos="851"/>
        </w:tabs>
        <w:spacing w:before="120" w:after="120"/>
        <w:ind w:left="1418" w:hanging="1418"/>
        <w:jc w:val="both"/>
        <w:rPr>
          <w:bCs w:val="0"/>
          <w:color w:val="683766"/>
          <w:sz w:val="22"/>
          <w:szCs w:val="22"/>
        </w:rPr>
      </w:pPr>
      <w:bookmarkStart w:id="121" w:name="_Toc222243967"/>
      <w:r w:rsidRPr="004D2E92">
        <w:rPr>
          <w:bCs w:val="0"/>
          <w:color w:val="683766"/>
          <w:sz w:val="22"/>
          <w:szCs w:val="22"/>
        </w:rPr>
        <w:t>Traitements de données à caractère personnel nécessaires à la réalisation des prestations</w:t>
      </w:r>
      <w:bookmarkEnd w:id="121"/>
    </w:p>
    <w:p w14:paraId="7B51E075"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 titulaire garantit être conforme aux lois et réglementations en vigueur en matière de protection des données à caractère personnel en France et en Europe, et notamment à la loi n°78-17 modifiée du 6 janvier 1978 relative à l’informatique, aux fichiers et aux libertés (« Loi Informatique et Libertés ») ainsi qu’au Règlement (UE) 2016/679 du Parlement Européen et du Conseil du 27 avril 2016 (« Règlement Général sur la Protection des Données » ou « RGPD »).</w:t>
      </w:r>
    </w:p>
    <w:p w14:paraId="2CB26D69"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En sa qualité de sous-traitant, le prestataire s’engage à :</w:t>
      </w:r>
    </w:p>
    <w:p w14:paraId="58742905" w14:textId="6EDEE2F6"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Traiter les données uniquement sur instruction documentée du CNM, pour le compte exclusif de CNM et dans le seul but d’accomplir les finalités énoncées au présent article et à l’annexe A – Données à caractère personnel. Les finalités, les types de données à caractère personnel traitées, les personnes concernées et la durée du traitement sont listées en Annexe A – Données à caractère personnel ;</w:t>
      </w:r>
    </w:p>
    <w:p w14:paraId="413459F8" w14:textId="22FF4D64"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Limiter l’accès aux données à caractère personnel aux seules personnes habilitées ayant besoin d’en connaître et à garantir que celles-ci soient soumises et respectent une obligation de confidentialité à l’égard de ces données ;</w:t>
      </w:r>
    </w:p>
    <w:p w14:paraId="106C5BC9" w14:textId="77777777"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Mettre en œuvre les mesures techniques et organisationnelles appropriées afin de garantir un niveau de sécurité adapté au risque, notamment si besoin :</w:t>
      </w:r>
    </w:p>
    <w:p w14:paraId="2809D595" w14:textId="77777777" w:rsidR="004D2E92" w:rsidRPr="004D2E92" w:rsidRDefault="004D2E92" w:rsidP="004D2E92">
      <w:pPr>
        <w:numPr>
          <w:ilvl w:val="1"/>
          <w:numId w:val="34"/>
        </w:numPr>
        <w:spacing w:before="120" w:after="120" w:line="240" w:lineRule="auto"/>
        <w:jc w:val="both"/>
        <w:rPr>
          <w:rFonts w:ascii="Calibri" w:hAnsi="Calibri"/>
          <w:i/>
          <w:iCs/>
          <w:sz w:val="20"/>
          <w:szCs w:val="20"/>
        </w:rPr>
      </w:pPr>
      <w:r w:rsidRPr="004D2E92">
        <w:rPr>
          <w:rFonts w:ascii="Calibri" w:hAnsi="Calibri"/>
          <w:i/>
          <w:iCs/>
          <w:sz w:val="20"/>
          <w:szCs w:val="20"/>
        </w:rPr>
        <w:t xml:space="preserve">La </w:t>
      </w:r>
      <w:proofErr w:type="spellStart"/>
      <w:r w:rsidRPr="004D2E92">
        <w:rPr>
          <w:rFonts w:ascii="Calibri" w:hAnsi="Calibri"/>
          <w:i/>
          <w:iCs/>
          <w:sz w:val="20"/>
          <w:szCs w:val="20"/>
        </w:rPr>
        <w:t>pseudonymisation</w:t>
      </w:r>
      <w:proofErr w:type="spellEnd"/>
      <w:r w:rsidRPr="004D2E92">
        <w:rPr>
          <w:rFonts w:ascii="Calibri" w:hAnsi="Calibri"/>
          <w:i/>
          <w:iCs/>
          <w:sz w:val="20"/>
          <w:szCs w:val="20"/>
        </w:rPr>
        <w:t xml:space="preserve"> et le chiffrement des données à caractère personnel ;</w:t>
      </w:r>
    </w:p>
    <w:p w14:paraId="1C538B60" w14:textId="77777777" w:rsidR="004D2E92" w:rsidRPr="004D2E92" w:rsidRDefault="004D2E92" w:rsidP="004D2E92">
      <w:pPr>
        <w:numPr>
          <w:ilvl w:val="1"/>
          <w:numId w:val="34"/>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garantir la confidentialité, l’intégrité, la disponibilité et la résilience constante des systèmes et services de traitement ;</w:t>
      </w:r>
    </w:p>
    <w:p w14:paraId="4C1697F9" w14:textId="77777777" w:rsidR="004D2E92" w:rsidRPr="004D2E92" w:rsidRDefault="004D2E92" w:rsidP="004D2E92">
      <w:pPr>
        <w:numPr>
          <w:ilvl w:val="1"/>
          <w:numId w:val="34"/>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rétablir la disponibilité des données et l’accès à celles-ci dans des délais appropriés en cas d’incident physique ou technique ;</w:t>
      </w:r>
    </w:p>
    <w:p w14:paraId="19D10AD8" w14:textId="77777777" w:rsidR="004D2E92" w:rsidRPr="004D2E92" w:rsidRDefault="004D2E92" w:rsidP="004D2E92">
      <w:pPr>
        <w:numPr>
          <w:ilvl w:val="1"/>
          <w:numId w:val="34"/>
        </w:numPr>
        <w:spacing w:before="120" w:after="120" w:line="240" w:lineRule="auto"/>
        <w:jc w:val="both"/>
        <w:rPr>
          <w:rFonts w:ascii="Calibri" w:hAnsi="Calibri"/>
          <w:i/>
          <w:iCs/>
          <w:sz w:val="20"/>
          <w:szCs w:val="20"/>
        </w:rPr>
      </w:pPr>
      <w:r w:rsidRPr="004D2E92">
        <w:rPr>
          <w:rFonts w:ascii="Calibri" w:hAnsi="Calibri"/>
          <w:i/>
          <w:iCs/>
          <w:sz w:val="20"/>
          <w:szCs w:val="20"/>
        </w:rPr>
        <w:t xml:space="preserve">Une procédure visant à tester, à analyser et à évaluer régulièrement l’efficacité des mesures techniques et organisationnelles pour assurer la sécurité du traitement. </w:t>
      </w:r>
    </w:p>
    <w:p w14:paraId="0399BCB7" w14:textId="77777777" w:rsidR="004D2E92" w:rsidRPr="004D2E92" w:rsidRDefault="004D2E92" w:rsidP="004D2E92">
      <w:pPr>
        <w:spacing w:before="120" w:after="120" w:line="240" w:lineRule="auto"/>
        <w:jc w:val="both"/>
        <w:rPr>
          <w:rFonts w:ascii="Calibri" w:hAnsi="Calibri"/>
          <w:i/>
          <w:iCs/>
          <w:sz w:val="20"/>
          <w:szCs w:val="20"/>
        </w:rPr>
      </w:pPr>
      <w:r w:rsidRPr="004D2E92">
        <w:rPr>
          <w:rFonts w:ascii="Calibri" w:hAnsi="Calibri"/>
          <w:i/>
          <w:iCs/>
          <w:sz w:val="20"/>
          <w:szCs w:val="20"/>
        </w:rPr>
        <w:t>Les mesures techniques et organisationnelles mises en œuvre dans le cadre du présent Contrat sont précisées à annexe ;</w:t>
      </w:r>
    </w:p>
    <w:p w14:paraId="3BE96D75" w14:textId="77777777"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Coopérer avec le CNM en lui mettant à disposition rapidement et à première demande écrite toutes informations nécessaires pour démontrer le respect de ses obligations et en lui permettant à cette fin de réaliser toute vérification qui lui paraîtrait utile, en ce compris la réalisation de tests d’intrusion, de scanners de vulnérabilité ou d’audit sans frais dont les modalités pratiques seront à convenir ;</w:t>
      </w:r>
    </w:p>
    <w:p w14:paraId="0518E518"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Notamment, le CNM se réserve le droit de procéder à toutes vérifications qui lui paraissent utiles pour constater le respect des obligations citées aux présentes, et notamment en procédant à un audit sécurité et données personnelles auprès du Sous-traitant ou directement auprès d’un sous-traitant ultérieur ;</w:t>
      </w:r>
    </w:p>
    <w:p w14:paraId="2719770D"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Cet audit pourra être effectué plus d’une fois par période de douze (12) mois, à compter de la date d'entrée en vigueur de cet Avenant et sur préavis d’une (1) semaine ;</w:t>
      </w:r>
    </w:p>
    <w:p w14:paraId="16F90372"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xml:space="preserve">Le Sous-traitant s’engage à répondre aux demandes d’audit du CNM, effectuées par lui-même ou par un tiers de confiance que le CNM aura sélectionné, reconnu en tant qu’auditeur indépendant, c'est-à-dire indépendant du CNM et du Sous-traitant, ayant une qualification adéquate, et libre de fournir les détails de ses remarques et conclusion d’audit au CNM ; </w:t>
      </w:r>
    </w:p>
    <w:p w14:paraId="6A05D818"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xml:space="preserve">Le Sous-traitant répondra à toutes questions posées par le CNM ou par le tiers de confiance ainsi désigné, et relatives aux traitements des données à caractère personnel et aux mesures de sécurité encadrant les traitements. Dans le cas où le CNM estimerait raisonnablement que les réponses fournies par le Sous-traitant </w:t>
      </w:r>
      <w:r w:rsidRPr="004D2E92">
        <w:rPr>
          <w:rFonts w:ascii="Calibri" w:hAnsi="Calibri"/>
          <w:sz w:val="20"/>
          <w:szCs w:val="20"/>
        </w:rPr>
        <w:lastRenderedPageBreak/>
        <w:t>justifient une analyse plus approfondie, le Sous-traitant devra, en accord avec le CNM, rendre disponibles les installations qu’il utilise pour le traitement des données personnelles sous-traitées ;</w:t>
      </w:r>
    </w:p>
    <w:p w14:paraId="7D400CF2"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Les audits doivent permettre une analyse du respect par le Sous-traitant de ses obligations au titre de présent Avenant et de ses annexes, ainsi qu’au titre de la Règlementation Informatique et libertés. Ils doivent permettre notamment de s’assurer que les mesures de sécurité et de confidentialité mises en place ne peuvent être contournées sans que cela ne soit détecté et notifié ;</w:t>
      </w:r>
    </w:p>
    <w:p w14:paraId="6120260A" w14:textId="3748AB21"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xml:space="preserve">Le CNM utilisera des moyens commercialement raisonnables pour l’organisation de tout audit de sorte à minimiser tout impact sur les activités normales du Sous-traitant ; </w:t>
      </w:r>
    </w:p>
    <w:p w14:paraId="6AEAE6B4" w14:textId="3D33D885"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 xml:space="preserve">Informer le CNM par écrit et dans les meilleurs délais de toute modification, changement ou autre fait, notamment en matière de sécurité, pouvant avoir un impact sur les traitements de données réalisés dans le cadre du présent Contrat ; </w:t>
      </w:r>
    </w:p>
    <w:p w14:paraId="5AC57EA0" w14:textId="433070DE"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Solliciter un accord écrit de la part du CNM préalablement à tout recours à un sous-traitant ultérieur et avoir signé avec ce dernier un contrat permettant de garantir un niveau de protection des données à caractère personnel au moins équivalent à celui convenu aux présentes. Le CNM donne son accord au recours, par le Sous-traitant, aux sous-traitants ultérieurs listés à l’Annexe A - Données à caractère personnel. En cas de manquement par le ou les sous-traitants ultérieur(s) aux obligations en matière de protection des données, le Sous-traitant sera pleinement responsable à l’égard du CNM ;</w:t>
      </w:r>
    </w:p>
    <w:p w14:paraId="040E8980" w14:textId="5833CE4A"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Garantir que tous les traitements réalisés dans le cadre du présent Contrat sont effectués au sein de l’Espace Economique Européen ou dans un pays faisant l’objet d’une décision d’adéquation de la part de la Commission européenne ;</w:t>
      </w:r>
    </w:p>
    <w:p w14:paraId="541766D8" w14:textId="64127D38"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 xml:space="preserve">Coopérer avec le CNM afin de lui permettre de s’acquitter de son obligation de donner suite aux demandes d’exercice de droit des personnes concernées dans les délais qui lui sont impartis, notamment en lui transmettant toute demande de mise en œuvre de droit qu’il pourrait recevoir à la place du CNM dans </w:t>
      </w:r>
      <w:proofErr w:type="gramStart"/>
      <w:r w:rsidRPr="004D2E92">
        <w:rPr>
          <w:rFonts w:ascii="Calibri" w:hAnsi="Calibri"/>
          <w:i/>
          <w:iCs/>
          <w:sz w:val="20"/>
          <w:szCs w:val="20"/>
        </w:rPr>
        <w:t>un délai de 5 jours ouvrés</w:t>
      </w:r>
      <w:proofErr w:type="gramEnd"/>
      <w:r w:rsidRPr="004D2E92">
        <w:rPr>
          <w:rFonts w:ascii="Calibri" w:hAnsi="Calibri"/>
          <w:i/>
          <w:iCs/>
          <w:sz w:val="20"/>
          <w:szCs w:val="20"/>
        </w:rPr>
        <w:t xml:space="preserve"> après réception ;</w:t>
      </w:r>
    </w:p>
    <w:p w14:paraId="20D145EF" w14:textId="77777777"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 xml:space="preserve">Notifier le CNM par écrit, dès qu’il en aura connaissance et au plus tard, dans un délai de 24 heures, toute violation de données, au sens du RGPD, se produisant sur les données traitées dans le cadre des présentes. Cette notification décrira : </w:t>
      </w:r>
    </w:p>
    <w:p w14:paraId="1774B705" w14:textId="77777777" w:rsidR="004D2E92" w:rsidRPr="004D2E92" w:rsidRDefault="004D2E92" w:rsidP="004D2E92">
      <w:pPr>
        <w:numPr>
          <w:ilvl w:val="1"/>
          <w:numId w:val="35"/>
        </w:numPr>
        <w:spacing w:before="120" w:after="120" w:line="240" w:lineRule="auto"/>
        <w:jc w:val="both"/>
        <w:rPr>
          <w:rFonts w:ascii="Calibri" w:hAnsi="Calibri"/>
          <w:i/>
          <w:iCs/>
          <w:sz w:val="20"/>
          <w:szCs w:val="20"/>
        </w:rPr>
      </w:pPr>
      <w:r w:rsidRPr="004D2E92">
        <w:rPr>
          <w:rFonts w:ascii="Calibri" w:hAnsi="Calibri"/>
          <w:i/>
          <w:iCs/>
          <w:sz w:val="20"/>
          <w:szCs w:val="20"/>
        </w:rPr>
        <w:t xml:space="preserve">La nature de la violation de données, y compris les catégories et le nombre approximatif de personnes et de données concernées par la violation ; </w:t>
      </w:r>
    </w:p>
    <w:p w14:paraId="739E0272" w14:textId="77777777" w:rsidR="004D2E92" w:rsidRPr="004D2E92" w:rsidRDefault="004D2E92" w:rsidP="004D2E92">
      <w:pPr>
        <w:numPr>
          <w:ilvl w:val="1"/>
          <w:numId w:val="35"/>
        </w:numPr>
        <w:spacing w:before="120" w:after="120" w:line="240" w:lineRule="auto"/>
        <w:jc w:val="both"/>
        <w:rPr>
          <w:rFonts w:ascii="Calibri" w:hAnsi="Calibri"/>
          <w:i/>
          <w:iCs/>
          <w:sz w:val="20"/>
          <w:szCs w:val="20"/>
        </w:rPr>
      </w:pPr>
      <w:r w:rsidRPr="004D2E92">
        <w:rPr>
          <w:rFonts w:ascii="Calibri" w:hAnsi="Calibri"/>
          <w:i/>
          <w:iCs/>
          <w:sz w:val="20"/>
          <w:szCs w:val="20"/>
        </w:rPr>
        <w:t>Une description des conséquences probables de la violation ;</w:t>
      </w:r>
    </w:p>
    <w:p w14:paraId="0FD0C222" w14:textId="77777777" w:rsidR="004D2E92" w:rsidRPr="004D2E92" w:rsidRDefault="004D2E92" w:rsidP="004D2E92">
      <w:pPr>
        <w:numPr>
          <w:ilvl w:val="1"/>
          <w:numId w:val="35"/>
        </w:numPr>
        <w:spacing w:before="120" w:after="120" w:line="240" w:lineRule="auto"/>
        <w:jc w:val="both"/>
        <w:rPr>
          <w:rFonts w:ascii="Calibri" w:hAnsi="Calibri"/>
          <w:i/>
          <w:iCs/>
          <w:sz w:val="20"/>
          <w:szCs w:val="20"/>
        </w:rPr>
      </w:pPr>
      <w:r w:rsidRPr="004D2E92">
        <w:rPr>
          <w:rFonts w:ascii="Calibri" w:hAnsi="Calibri"/>
          <w:i/>
          <w:iCs/>
          <w:sz w:val="20"/>
          <w:szCs w:val="20"/>
        </w:rPr>
        <w:t xml:space="preserve">Une description des mesures prises pour remédier à la violation de données, y compris les mesures pour en atténuer les éventuelles conséquences négatives ; </w:t>
      </w:r>
    </w:p>
    <w:p w14:paraId="5D71A17A" w14:textId="7A752D9B" w:rsidR="004D2E92" w:rsidRPr="004D2E92" w:rsidRDefault="004D2E92" w:rsidP="004D2E92">
      <w:pPr>
        <w:numPr>
          <w:ilvl w:val="1"/>
          <w:numId w:val="35"/>
        </w:numPr>
        <w:spacing w:before="120" w:after="120" w:line="240" w:lineRule="auto"/>
        <w:jc w:val="both"/>
        <w:rPr>
          <w:rFonts w:ascii="Calibri" w:hAnsi="Calibri"/>
          <w:i/>
          <w:iCs/>
          <w:sz w:val="20"/>
          <w:szCs w:val="20"/>
        </w:rPr>
      </w:pPr>
      <w:r w:rsidRPr="004D2E92">
        <w:rPr>
          <w:rFonts w:ascii="Calibri" w:hAnsi="Calibri"/>
          <w:i/>
          <w:iCs/>
          <w:sz w:val="20"/>
          <w:szCs w:val="20"/>
        </w:rPr>
        <w:t xml:space="preserve">Les coordonnées du délégué à la protection des données ou d’un autre point de contact auprès duquel des informations supplémentaires pourraient être obtenues ; </w:t>
      </w:r>
    </w:p>
    <w:p w14:paraId="7A4B4278" w14:textId="7B390E91"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Cesser de traiter les données à caractère personnel à l’issue du Contrat et, selon le choix et les instructions du CNM, restituer les données dans un format structuré, couramment utilisé et lisible par machine, et/ou détruire les données dans un délai raisonnable sans en conserver de copie. En l’absence d’instruction, le Sous-traitant détruira les données mentionnées aux présentes dans un délai de trente (30) jours à l’issue de la prestation, sans préjudice des durées de conservation légale auxquelles il pourrait être assujetti. Dans tous les cas, le Sous-traitant attestera des diligences entreprises en communicant au CNM un procès-verbal établissant la restitution et/ou la destruction des données.</w:t>
      </w:r>
    </w:p>
    <w:p w14:paraId="3441FE7D"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 Prestataire reconnait que son engagement à respecter les stipulations ci-dessus constitue une condition essentielle du présent Contrat.</w:t>
      </w:r>
    </w:p>
    <w:p w14:paraId="62CCD5DA"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A la demande du CNM, le Sous-traitant devra établir une attestation ou transmettre toute information nécessaire pour démontrer que les règles prévues par le présent article du Contrat et ses annexes ont bien été respectées.</w:t>
      </w:r>
    </w:p>
    <w:p w14:paraId="5176BA8E" w14:textId="2491F7B9" w:rsidR="004D2E92" w:rsidRPr="004D2E92" w:rsidRDefault="004D2E92" w:rsidP="004D2E92">
      <w:pPr>
        <w:pStyle w:val="Titre2"/>
        <w:shd w:val="clear" w:color="auto" w:fill="auto"/>
        <w:tabs>
          <w:tab w:val="clear" w:pos="851"/>
        </w:tabs>
        <w:spacing w:before="120" w:after="120"/>
        <w:ind w:left="1418" w:hanging="1418"/>
        <w:jc w:val="both"/>
        <w:rPr>
          <w:bCs w:val="0"/>
          <w:color w:val="683766"/>
          <w:sz w:val="22"/>
          <w:szCs w:val="22"/>
        </w:rPr>
      </w:pPr>
      <w:bookmarkStart w:id="122" w:name="_Toc222243968"/>
      <w:r w:rsidRPr="004D2E92">
        <w:rPr>
          <w:bCs w:val="0"/>
          <w:color w:val="683766"/>
          <w:sz w:val="22"/>
          <w:szCs w:val="22"/>
        </w:rPr>
        <w:t>Suivi des relations contractuelles</w:t>
      </w:r>
      <w:bookmarkEnd w:id="122"/>
    </w:p>
    <w:p w14:paraId="6B59DC96"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xml:space="preserve">Chaque Partie, responsable du traitement pour son compte, met en œuvre un traitement de données à caractère personnel pour assurer la gestion de ses relations contractuelles avec ses sous-traitants, prestataires et partenaires extérieurs et ceci dans le cadre de l'exécution du Contrat les liant. </w:t>
      </w:r>
    </w:p>
    <w:p w14:paraId="7170498B"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lastRenderedPageBreak/>
        <w:t xml:space="preserve">Les données d’identification (nom, prénom), de contacts (courriel, téléphone) et de vie professionnelle (fonction) collectées concernent des collaborateurs des Parties et sont destinées aux services concernés de chacune des Parties ainsi qu'à ses éventuels prestataires et sous-traitants. </w:t>
      </w:r>
    </w:p>
    <w:p w14:paraId="7BC25ECA"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Les données sont conservées pendant toute la durée de la relation contractuelle augmentée de la durée des prescriptions légales.</w:t>
      </w:r>
    </w:p>
    <w:p w14:paraId="6ABB70FA"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En application de la législation en vigueur, les personnes concernées de chacune des Parties disposent d’un droit d'interrogation, d’accès, de rectification ou d’effacement, de limitation du traitement des données le concernant, d’un droit d’opposition, d’un droit à la portabilité des données ainsi que du droit de définir des directives relatives au sort des données après décès, qui s’exercent :</w:t>
      </w:r>
    </w:p>
    <w:p w14:paraId="33EA21EE" w14:textId="77777777" w:rsidR="004D2E92" w:rsidRPr="004D2E92" w:rsidRDefault="004D2E92" w:rsidP="004D2E92">
      <w:pPr>
        <w:numPr>
          <w:ilvl w:val="0"/>
          <w:numId w:val="38"/>
        </w:numPr>
        <w:spacing w:before="120" w:after="120" w:line="240" w:lineRule="auto"/>
        <w:jc w:val="both"/>
        <w:rPr>
          <w:rFonts w:ascii="Calibri" w:hAnsi="Calibri"/>
          <w:sz w:val="20"/>
          <w:szCs w:val="20"/>
        </w:rPr>
      </w:pPr>
      <w:r w:rsidRPr="004D2E92">
        <w:rPr>
          <w:rFonts w:ascii="Calibri" w:hAnsi="Calibri"/>
          <w:sz w:val="20"/>
          <w:szCs w:val="20"/>
        </w:rPr>
        <w:t>Pour le Responsable de traitement :</w:t>
      </w:r>
      <w:r w:rsidRPr="004D2E92">
        <w:rPr>
          <w:rFonts w:ascii="Calibri" w:hAnsi="Calibri"/>
          <w:sz w:val="20"/>
          <w:szCs w:val="20"/>
        </w:rPr>
        <w:tab/>
      </w:r>
    </w:p>
    <w:p w14:paraId="38246BA6" w14:textId="77777777" w:rsidR="004D2E92" w:rsidRPr="004D2E92" w:rsidRDefault="004D2E92" w:rsidP="004D2E92">
      <w:pPr>
        <w:numPr>
          <w:ilvl w:val="1"/>
          <w:numId w:val="38"/>
        </w:numPr>
        <w:spacing w:before="120" w:after="120" w:line="240" w:lineRule="auto"/>
        <w:jc w:val="both"/>
        <w:rPr>
          <w:rFonts w:ascii="Calibri" w:hAnsi="Calibri"/>
          <w:b/>
          <w:bCs/>
          <w:sz w:val="20"/>
          <w:szCs w:val="20"/>
          <w:u w:val="single"/>
        </w:rPr>
      </w:pPr>
      <w:proofErr w:type="gramStart"/>
      <w:r w:rsidRPr="004D2E92">
        <w:rPr>
          <w:rFonts w:ascii="Calibri" w:hAnsi="Calibri"/>
          <w:sz w:val="20"/>
          <w:szCs w:val="20"/>
        </w:rPr>
        <w:t>par</w:t>
      </w:r>
      <w:proofErr w:type="gramEnd"/>
      <w:r w:rsidRPr="004D2E92">
        <w:rPr>
          <w:rFonts w:ascii="Calibri" w:hAnsi="Calibri"/>
          <w:sz w:val="20"/>
          <w:szCs w:val="20"/>
        </w:rPr>
        <w:t xml:space="preserve"> courrier électronique à : </w:t>
      </w:r>
      <w:r w:rsidRPr="004D2E92">
        <w:rPr>
          <w:rFonts w:ascii="Calibri" w:hAnsi="Calibri"/>
          <w:b/>
          <w:bCs/>
          <w:sz w:val="20"/>
          <w:szCs w:val="20"/>
          <w:u w:val="single"/>
        </w:rPr>
        <w:t>contact-dpo@cnm.fr</w:t>
      </w:r>
    </w:p>
    <w:p w14:paraId="68427E04" w14:textId="77777777" w:rsidR="004D2E92" w:rsidRPr="004D2E92" w:rsidRDefault="004D2E92" w:rsidP="004D2E92">
      <w:pPr>
        <w:numPr>
          <w:ilvl w:val="1"/>
          <w:numId w:val="38"/>
        </w:numPr>
        <w:spacing w:before="120" w:after="120" w:line="240" w:lineRule="auto"/>
        <w:jc w:val="both"/>
        <w:rPr>
          <w:rFonts w:ascii="Calibri" w:hAnsi="Calibri"/>
          <w:sz w:val="20"/>
          <w:szCs w:val="20"/>
        </w:rPr>
      </w:pPr>
      <w:proofErr w:type="gramStart"/>
      <w:r w:rsidRPr="004D2E92">
        <w:rPr>
          <w:rFonts w:ascii="Calibri" w:hAnsi="Calibri"/>
          <w:sz w:val="20"/>
          <w:szCs w:val="20"/>
        </w:rPr>
        <w:t>par</w:t>
      </w:r>
      <w:proofErr w:type="gramEnd"/>
      <w:r w:rsidRPr="004D2E92">
        <w:rPr>
          <w:rFonts w:ascii="Calibri" w:hAnsi="Calibri"/>
          <w:sz w:val="20"/>
          <w:szCs w:val="20"/>
        </w:rPr>
        <w:t xml:space="preserve"> courrier postal à l’attention du Délégué à la protection des données à adresser au siège : 151 – 157 avenue de France 75013 Paris, France</w:t>
      </w:r>
    </w:p>
    <w:p w14:paraId="59E960EE" w14:textId="77777777" w:rsidR="004D2E92" w:rsidRPr="004D2E92" w:rsidRDefault="004D2E92" w:rsidP="004D2E92">
      <w:pPr>
        <w:numPr>
          <w:ilvl w:val="0"/>
          <w:numId w:val="38"/>
        </w:numPr>
        <w:spacing w:before="120" w:after="120" w:line="240" w:lineRule="auto"/>
        <w:jc w:val="both"/>
        <w:rPr>
          <w:rFonts w:ascii="Calibri" w:hAnsi="Calibri"/>
          <w:sz w:val="20"/>
          <w:szCs w:val="20"/>
        </w:rPr>
      </w:pPr>
      <w:r w:rsidRPr="004D2E92">
        <w:rPr>
          <w:rFonts w:ascii="Calibri" w:hAnsi="Calibri"/>
          <w:sz w:val="20"/>
          <w:szCs w:val="20"/>
        </w:rPr>
        <w:t>Pour le Prestataire :</w:t>
      </w:r>
    </w:p>
    <w:p w14:paraId="69385F81" w14:textId="77777777" w:rsidR="004D2E92" w:rsidRPr="004D2E92" w:rsidRDefault="004D2E92" w:rsidP="004D2E92">
      <w:pPr>
        <w:numPr>
          <w:ilvl w:val="1"/>
          <w:numId w:val="38"/>
        </w:numPr>
        <w:spacing w:before="120" w:after="120" w:line="240" w:lineRule="auto"/>
        <w:jc w:val="both"/>
        <w:rPr>
          <w:rFonts w:ascii="Calibri" w:hAnsi="Calibri"/>
          <w:b/>
          <w:bCs/>
          <w:sz w:val="20"/>
          <w:szCs w:val="20"/>
        </w:rPr>
      </w:pPr>
      <w:r w:rsidRPr="004D2E92">
        <w:rPr>
          <w:rFonts w:ascii="Calibri" w:hAnsi="Calibri"/>
          <w:sz w:val="20"/>
          <w:szCs w:val="20"/>
        </w:rPr>
        <w:t xml:space="preserve">Par courrier électronique : </w:t>
      </w:r>
      <w:r w:rsidRPr="004D2E92">
        <w:rPr>
          <w:rFonts w:ascii="Calibri" w:hAnsi="Calibri"/>
          <w:b/>
          <w:bCs/>
          <w:sz w:val="20"/>
          <w:szCs w:val="20"/>
        </w:rPr>
        <w:t>DPO du titulaire</w:t>
      </w:r>
    </w:p>
    <w:p w14:paraId="32B4B7EC" w14:textId="77777777" w:rsidR="004D2E92" w:rsidRPr="004D2E92" w:rsidRDefault="004D2E92" w:rsidP="004D2E92">
      <w:pPr>
        <w:numPr>
          <w:ilvl w:val="1"/>
          <w:numId w:val="38"/>
        </w:numPr>
        <w:spacing w:before="120" w:after="120" w:line="240" w:lineRule="auto"/>
        <w:jc w:val="both"/>
        <w:rPr>
          <w:rFonts w:ascii="Calibri" w:hAnsi="Calibri"/>
          <w:sz w:val="20"/>
          <w:szCs w:val="20"/>
        </w:rPr>
      </w:pPr>
      <w:r w:rsidRPr="004D2E92">
        <w:rPr>
          <w:rFonts w:ascii="Calibri" w:hAnsi="Calibri"/>
          <w:sz w:val="20"/>
          <w:szCs w:val="20"/>
        </w:rPr>
        <w:t xml:space="preserve">Par courrier postal : </w:t>
      </w:r>
      <w:r w:rsidRPr="004D2E92">
        <w:rPr>
          <w:rFonts w:ascii="Calibri" w:hAnsi="Calibri"/>
          <w:b/>
          <w:bCs/>
          <w:sz w:val="20"/>
          <w:szCs w:val="20"/>
        </w:rPr>
        <w:t>à adresser au DPO du titulaire</w:t>
      </w:r>
    </w:p>
    <w:p w14:paraId="5A00AD54"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une copie d’un titre d'identité pourra être demandée.</w:t>
      </w:r>
    </w:p>
    <w:p w14:paraId="67064C20"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Les personnes concernées disposent enfin du droit d'introduire une réclamation auprès de la Commission nationale de l’Informatique et des libertés (CNIL) à l’adresse 3 place de Fontenay 75007 Paris.</w:t>
      </w:r>
    </w:p>
    <w:p w14:paraId="77A354F1"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Pour toute précision, le titulaire et l’acheteur sont invités à consulter la politique de protection des données personnelles de l’autre Partie, accessible sur son Site internet :</w:t>
      </w:r>
    </w:p>
    <w:p w14:paraId="4FFEA247" w14:textId="77777777" w:rsidR="004D2E92" w:rsidRPr="004D2E92" w:rsidRDefault="004D2E92" w:rsidP="004D2E92">
      <w:pPr>
        <w:numPr>
          <w:ilvl w:val="0"/>
          <w:numId w:val="38"/>
        </w:numPr>
        <w:spacing w:before="120" w:after="120" w:line="240" w:lineRule="auto"/>
        <w:jc w:val="both"/>
        <w:rPr>
          <w:rFonts w:ascii="Calibri" w:hAnsi="Calibri"/>
          <w:sz w:val="20"/>
          <w:szCs w:val="20"/>
        </w:rPr>
      </w:pPr>
      <w:r w:rsidRPr="004D2E92">
        <w:rPr>
          <w:rFonts w:ascii="Calibri" w:hAnsi="Calibri"/>
          <w:sz w:val="20"/>
          <w:szCs w:val="20"/>
        </w:rPr>
        <w:t xml:space="preserve">Pour l’acheteur : </w:t>
      </w:r>
      <w:hyperlink r:id="rId13" w:history="1">
        <w:r w:rsidRPr="004D2E92">
          <w:rPr>
            <w:rStyle w:val="Lienhypertexte"/>
            <w:rFonts w:ascii="Calibri" w:hAnsi="Calibri"/>
            <w:sz w:val="20"/>
            <w:szCs w:val="20"/>
          </w:rPr>
          <w:t>www.cnm.fr</w:t>
        </w:r>
      </w:hyperlink>
      <w:r w:rsidRPr="004D2E92">
        <w:rPr>
          <w:rFonts w:ascii="Calibri" w:hAnsi="Calibri"/>
          <w:sz w:val="20"/>
          <w:szCs w:val="20"/>
        </w:rPr>
        <w:t xml:space="preserve"> </w:t>
      </w:r>
    </w:p>
    <w:p w14:paraId="1A1EAF63" w14:textId="6FE25796" w:rsidR="004D2E92" w:rsidRPr="004D2E92" w:rsidRDefault="004D2E92" w:rsidP="004D2E92">
      <w:pPr>
        <w:numPr>
          <w:ilvl w:val="0"/>
          <w:numId w:val="38"/>
        </w:numPr>
        <w:spacing w:before="120" w:after="120" w:line="240" w:lineRule="auto"/>
        <w:jc w:val="both"/>
        <w:rPr>
          <w:rFonts w:ascii="Calibri" w:hAnsi="Calibri"/>
          <w:sz w:val="20"/>
          <w:szCs w:val="20"/>
        </w:rPr>
      </w:pPr>
      <w:r w:rsidRPr="004D2E92">
        <w:rPr>
          <w:rFonts w:ascii="Calibri" w:hAnsi="Calibri"/>
          <w:sz w:val="20"/>
          <w:szCs w:val="20"/>
        </w:rPr>
        <w:t xml:space="preserve">Pour le titulaire : Site internet du titulaire </w:t>
      </w:r>
    </w:p>
    <w:p w14:paraId="263B31B9"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Les Parties conviennent expressément de préciser les conditions applicables aux traitements de données à caractère personnel effectués par le Prestataire au sein d’une annexe A « Données à Caractère Personnel » (annexée au présent marché).</w:t>
      </w:r>
    </w:p>
    <w:p w14:paraId="47EF47FE" w14:textId="6BD3B83F" w:rsidR="004D2E92" w:rsidRPr="004D2E92" w:rsidRDefault="004D2E92" w:rsidP="004D2E92">
      <w:pPr>
        <w:spacing w:before="120" w:after="120" w:line="240" w:lineRule="auto"/>
        <w:jc w:val="both"/>
        <w:rPr>
          <w:rFonts w:ascii="Calibri" w:hAnsi="Calibri"/>
          <w:sz w:val="20"/>
          <w:szCs w:val="20"/>
        </w:rPr>
      </w:pPr>
      <w:r w:rsidRPr="00715A63">
        <w:rPr>
          <w:rFonts w:ascii="Calibri" w:hAnsi="Calibri"/>
          <w:b/>
          <w:bCs/>
          <w:sz w:val="20"/>
          <w:szCs w:val="20"/>
        </w:rPr>
        <w:t xml:space="preserve">Le titulaire devra </w:t>
      </w:r>
      <w:r w:rsidR="00715A63" w:rsidRPr="00715A63">
        <w:rPr>
          <w:rFonts w:ascii="Calibri" w:hAnsi="Calibri"/>
          <w:b/>
          <w:bCs/>
          <w:sz w:val="20"/>
          <w:szCs w:val="20"/>
          <w:u w:val="single"/>
        </w:rPr>
        <w:t>signer</w:t>
      </w:r>
      <w:r w:rsidRPr="00715A63">
        <w:rPr>
          <w:rFonts w:ascii="Calibri" w:hAnsi="Calibri"/>
          <w:b/>
          <w:bCs/>
          <w:sz w:val="20"/>
          <w:szCs w:val="20"/>
        </w:rPr>
        <w:t xml:space="preserve"> l’annexe B intitulée “Description des mesures de sécurité. Il devra également compléter le questionnaire relatif à la conformité au RGPD</w:t>
      </w:r>
      <w:r w:rsidRPr="004D2E92">
        <w:rPr>
          <w:rFonts w:ascii="Calibri" w:hAnsi="Calibri"/>
          <w:sz w:val="20"/>
          <w:szCs w:val="20"/>
        </w:rPr>
        <w:t>, également annexé au présent marché, et fournir tout document permettant d’attester de sa mise en conformité avec la réglementation applicable.</w:t>
      </w:r>
    </w:p>
    <w:p w14:paraId="306A355B" w14:textId="4D4A3290" w:rsidR="00AD4870" w:rsidRPr="00715A63" w:rsidRDefault="004D2E92" w:rsidP="001467E1">
      <w:pPr>
        <w:spacing w:before="120" w:after="120" w:line="240" w:lineRule="auto"/>
        <w:jc w:val="both"/>
        <w:rPr>
          <w:rFonts w:ascii="Calibri" w:hAnsi="Calibri"/>
          <w:b/>
          <w:bCs/>
          <w:sz w:val="20"/>
          <w:szCs w:val="20"/>
        </w:rPr>
      </w:pPr>
      <w:r w:rsidRPr="00715A63">
        <w:rPr>
          <w:rFonts w:ascii="Calibri" w:hAnsi="Calibri"/>
          <w:b/>
          <w:bCs/>
          <w:sz w:val="20"/>
          <w:szCs w:val="20"/>
        </w:rPr>
        <w:t xml:space="preserve">Les Parties s’engagent dans le cadre du </w:t>
      </w:r>
      <w:r w:rsidR="00715A63">
        <w:rPr>
          <w:rFonts w:ascii="Calibri" w:hAnsi="Calibri"/>
          <w:b/>
          <w:bCs/>
          <w:sz w:val="20"/>
          <w:szCs w:val="20"/>
        </w:rPr>
        <w:t>présent marché</w:t>
      </w:r>
      <w:r w:rsidRPr="00715A63">
        <w:rPr>
          <w:rFonts w:ascii="Calibri" w:hAnsi="Calibri"/>
          <w:b/>
          <w:bCs/>
          <w:sz w:val="20"/>
          <w:szCs w:val="20"/>
        </w:rPr>
        <w:t xml:space="preserve"> à respecter et appliquer les principes et obligations stipulés </w:t>
      </w:r>
      <w:r w:rsidR="00AD4870" w:rsidRPr="00715A63">
        <w:rPr>
          <w:rFonts w:ascii="Calibri" w:hAnsi="Calibri"/>
          <w:b/>
          <w:bCs/>
          <w:sz w:val="20"/>
          <w:szCs w:val="20"/>
        </w:rPr>
        <w:t>au présent article et</w:t>
      </w:r>
      <w:r w:rsidRPr="00715A63">
        <w:rPr>
          <w:rFonts w:ascii="Calibri" w:hAnsi="Calibri"/>
          <w:b/>
          <w:bCs/>
          <w:sz w:val="20"/>
          <w:szCs w:val="20"/>
        </w:rPr>
        <w:t xml:space="preserve"> </w:t>
      </w:r>
      <w:r w:rsidR="00AD4870" w:rsidRPr="00715A63">
        <w:rPr>
          <w:rFonts w:ascii="Calibri" w:hAnsi="Calibri"/>
          <w:b/>
          <w:bCs/>
          <w:sz w:val="20"/>
          <w:szCs w:val="20"/>
        </w:rPr>
        <w:t>aux</w:t>
      </w:r>
      <w:r w:rsidRPr="00715A63">
        <w:rPr>
          <w:rFonts w:ascii="Calibri" w:hAnsi="Calibri"/>
          <w:b/>
          <w:bCs/>
          <w:sz w:val="20"/>
          <w:szCs w:val="20"/>
        </w:rPr>
        <w:t xml:space="preserve"> </w:t>
      </w:r>
      <w:r w:rsidR="00AD4870" w:rsidRPr="00715A63">
        <w:rPr>
          <w:rFonts w:ascii="Calibri" w:hAnsi="Calibri"/>
          <w:b/>
          <w:bCs/>
          <w:sz w:val="20"/>
          <w:szCs w:val="20"/>
        </w:rPr>
        <w:t>annexes</w:t>
      </w:r>
      <w:r w:rsidRPr="00715A63">
        <w:rPr>
          <w:rFonts w:ascii="Calibri" w:hAnsi="Calibri"/>
          <w:b/>
          <w:bCs/>
          <w:sz w:val="20"/>
          <w:szCs w:val="20"/>
        </w:rPr>
        <w:t xml:space="preserve"> A « Données à Caractère Personnel » et B « Description des mesures de sécurité ».</w:t>
      </w:r>
    </w:p>
    <w:p w14:paraId="042605D8" w14:textId="4B3C6312" w:rsidR="004930E2" w:rsidRPr="001D4321" w:rsidRDefault="007D5A59" w:rsidP="001D4321">
      <w:pPr>
        <w:pStyle w:val="Titre1"/>
        <w:shd w:val="clear" w:color="auto" w:fill="DC8C00"/>
        <w:contextualSpacing/>
        <w:rPr>
          <w:color w:val="FFFFFF" w:themeColor="background1"/>
        </w:rPr>
      </w:pPr>
      <w:bookmarkStart w:id="123" w:name="_Toc222243969"/>
      <w:bookmarkEnd w:id="119"/>
      <w:r w:rsidRPr="00622EC0">
        <w:rPr>
          <w:color w:val="FFFFFF" w:themeColor="background1"/>
        </w:rPr>
        <w:t>Pénalités</w:t>
      </w:r>
      <w:bookmarkEnd w:id="123"/>
    </w:p>
    <w:p w14:paraId="49A009CD" w14:textId="781F6FB8" w:rsidR="001D4321" w:rsidRDefault="001D4321" w:rsidP="005F5C92">
      <w:pPr>
        <w:spacing w:before="120" w:after="120" w:line="240" w:lineRule="auto"/>
        <w:jc w:val="both"/>
        <w:rPr>
          <w:rFonts w:ascii="Calibri" w:hAnsi="Calibri"/>
          <w:sz w:val="20"/>
          <w:szCs w:val="20"/>
        </w:rPr>
      </w:pPr>
      <w:bookmarkStart w:id="124" w:name="_Hlk184224946"/>
      <w:r w:rsidRPr="001D4321">
        <w:rPr>
          <w:rFonts w:ascii="Calibri" w:hAnsi="Calibri"/>
          <w:b/>
          <w:bCs/>
          <w:sz w:val="20"/>
          <w:szCs w:val="20"/>
        </w:rPr>
        <w:t>Par dérogation à l’article 14.1 du CCAG-</w:t>
      </w:r>
      <w:r w:rsidR="00843FB2">
        <w:rPr>
          <w:rFonts w:ascii="Calibri" w:hAnsi="Calibri"/>
          <w:b/>
          <w:bCs/>
          <w:sz w:val="20"/>
          <w:szCs w:val="20"/>
        </w:rPr>
        <w:t>TIC,</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6E47E3EA"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843FB2">
        <w:rPr>
          <w:rFonts w:ascii="Calibri" w:hAnsi="Calibri"/>
          <w:b/>
          <w:bCs/>
          <w:sz w:val="20"/>
          <w:szCs w:val="20"/>
        </w:rPr>
        <w:t>TIC</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25" w:name="_Toc222243970"/>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25"/>
    </w:p>
    <w:p w14:paraId="0C443C0F" w14:textId="6E73005F"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d’exécution des prestations indiqués dans le CCTP, il sera appliqué une pénalité de </w:t>
      </w:r>
      <w:r w:rsidR="46CAE98B" w:rsidRPr="46CAE98B">
        <w:rPr>
          <w:rFonts w:ascii="Calibri" w:hAnsi="Calibri"/>
          <w:sz w:val="20"/>
          <w:szCs w:val="20"/>
        </w:rPr>
        <w:t xml:space="preserve">0,2% du montant de la prestation concernée par jour de retard, plafonnée à 5% du montant de la prestation </w:t>
      </w:r>
      <w:r w:rsidRPr="00740399">
        <w:rPr>
          <w:rFonts w:ascii="Calibri" w:hAnsi="Calibri"/>
          <w:sz w:val="20"/>
          <w:szCs w:val="20"/>
        </w:rPr>
        <w:t>par jour de retard, sans mise en demeure préalable, sauf motif reconnu comme valable par le</w:t>
      </w:r>
      <w:r>
        <w:rPr>
          <w:rFonts w:ascii="Calibri" w:hAnsi="Calibri"/>
          <w:sz w:val="20"/>
          <w:szCs w:val="20"/>
        </w:rPr>
        <w:t xml:space="preserve"> CNM. </w:t>
      </w:r>
    </w:p>
    <w:p w14:paraId="30C0B21D" w14:textId="0A6A46F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lastRenderedPageBreak/>
        <w:t xml:space="preserve">En cas de non-respect par le titulaire du délai de remise des documents techniques prévus au présent document et au CCTP, il sera appliqué une pénalité de </w:t>
      </w:r>
      <w:r w:rsidR="00AD4870">
        <w:rPr>
          <w:rFonts w:ascii="Calibri" w:hAnsi="Calibri"/>
          <w:sz w:val="20"/>
          <w:szCs w:val="20"/>
        </w:rPr>
        <w:t>200</w:t>
      </w:r>
      <w:r w:rsidRPr="00740399">
        <w:rPr>
          <w:rFonts w:ascii="Calibri" w:hAnsi="Calibri"/>
          <w:sz w:val="20"/>
          <w:szCs w:val="20"/>
        </w:rPr>
        <w:t xml:space="preserve"> euros par jour de retard, sans mise en demeure préalable, sauf motif reconnu comme valable par le </w:t>
      </w:r>
      <w:r>
        <w:rPr>
          <w:rFonts w:ascii="Calibri" w:hAnsi="Calibri"/>
          <w:sz w:val="20"/>
          <w:szCs w:val="20"/>
        </w:rPr>
        <w:t>CNM</w:t>
      </w:r>
      <w:r w:rsidRPr="00740399">
        <w:rPr>
          <w:rFonts w:ascii="Calibri" w:hAnsi="Calibri"/>
          <w:sz w:val="20"/>
          <w:szCs w:val="20"/>
        </w:rPr>
        <w:t xml:space="preserve">. </w:t>
      </w:r>
    </w:p>
    <w:p w14:paraId="2A4F35C0" w14:textId="2DEEC1C9" w:rsidR="00740399" w:rsidRPr="00740399" w:rsidRDefault="00740399" w:rsidP="00740399">
      <w:pPr>
        <w:pStyle w:val="Titre2"/>
        <w:shd w:val="clear" w:color="auto" w:fill="auto"/>
        <w:contextualSpacing/>
        <w:rPr>
          <w:bCs w:val="0"/>
          <w:color w:val="683766"/>
          <w:sz w:val="22"/>
          <w:szCs w:val="22"/>
        </w:rPr>
      </w:pPr>
      <w:bookmarkStart w:id="126" w:name="_Toc222243971"/>
      <w:r w:rsidRPr="00740399">
        <w:rPr>
          <w:bCs w:val="0"/>
          <w:color w:val="683766"/>
          <w:sz w:val="22"/>
          <w:szCs w:val="22"/>
        </w:rPr>
        <w:t>Pénalités pour indisponibilité</w:t>
      </w:r>
      <w:bookmarkEnd w:id="126"/>
      <w:r w:rsidRPr="00740399">
        <w:rPr>
          <w:bCs w:val="0"/>
          <w:color w:val="683766"/>
          <w:sz w:val="22"/>
          <w:szCs w:val="22"/>
        </w:rPr>
        <w:t xml:space="preserve"> </w:t>
      </w:r>
    </w:p>
    <w:p w14:paraId="02450A07" w14:textId="51406AD2" w:rsidR="00740399" w:rsidRPr="00740399" w:rsidRDefault="00740399" w:rsidP="00740399">
      <w:pPr>
        <w:jc w:val="both"/>
        <w:rPr>
          <w:sz w:val="20"/>
          <w:szCs w:val="20"/>
        </w:rPr>
      </w:pPr>
      <w:r w:rsidRPr="00740399">
        <w:rPr>
          <w:sz w:val="20"/>
          <w:szCs w:val="20"/>
        </w:rPr>
        <w:t>La catégorisation des incidents et anomalies est</w:t>
      </w:r>
      <w:r w:rsidR="00AF3679">
        <w:rPr>
          <w:sz w:val="20"/>
          <w:szCs w:val="20"/>
        </w:rPr>
        <w:t xml:space="preserve"> détaillée à l’article 3 du CCTP. </w:t>
      </w:r>
      <w:r w:rsidRPr="00740399">
        <w:rPr>
          <w:sz w:val="20"/>
          <w:szCs w:val="20"/>
        </w:rPr>
        <w:t xml:space="preserve">Lorsque la durée d’indisponibilité observée dépasse le délai maximum de résolution fixé dans le CCTP, le titulaire est soumis, sans mise en demeure préalable, sauf motif reconnu comme valable par le </w:t>
      </w:r>
      <w:r>
        <w:rPr>
          <w:sz w:val="20"/>
          <w:szCs w:val="20"/>
        </w:rPr>
        <w:t>CNM</w:t>
      </w:r>
      <w:r w:rsidRPr="00740399">
        <w:rPr>
          <w:sz w:val="20"/>
          <w:szCs w:val="20"/>
        </w:rPr>
        <w:t xml:space="preserve"> :</w:t>
      </w:r>
    </w:p>
    <w:p w14:paraId="2D9E5D3A" w14:textId="07CA57F3"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horaire de </w:t>
      </w:r>
      <w:r w:rsidR="70CE0719" w:rsidRPr="70CE0719">
        <w:rPr>
          <w:sz w:val="20"/>
          <w:szCs w:val="20"/>
        </w:rPr>
        <w:t xml:space="preserve">300 </w:t>
      </w:r>
      <w:r w:rsidR="001923A8">
        <w:rPr>
          <w:sz w:val="20"/>
          <w:szCs w:val="20"/>
        </w:rPr>
        <w:t>euros</w:t>
      </w:r>
      <w:r w:rsidRPr="00740399">
        <w:rPr>
          <w:sz w:val="20"/>
          <w:szCs w:val="20"/>
        </w:rPr>
        <w:t xml:space="preserve"> pour une anomalie ou incident bloquant ;</w:t>
      </w:r>
    </w:p>
    <w:p w14:paraId="2F6B33C5" w14:textId="70581059"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500 </w:t>
      </w:r>
      <w:r w:rsidR="001923A8">
        <w:rPr>
          <w:sz w:val="20"/>
          <w:szCs w:val="20"/>
        </w:rPr>
        <w:t>euros</w:t>
      </w:r>
      <w:r w:rsidRPr="00740399">
        <w:rPr>
          <w:sz w:val="20"/>
          <w:szCs w:val="20"/>
        </w:rPr>
        <w:t xml:space="preserve"> pour une anomalie ou incident majeur ;</w:t>
      </w:r>
    </w:p>
    <w:p w14:paraId="3EADD1CD" w14:textId="69A9431F"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300 </w:t>
      </w:r>
      <w:r w:rsidR="001923A8">
        <w:rPr>
          <w:sz w:val="20"/>
          <w:szCs w:val="20"/>
        </w:rPr>
        <w:t>euros</w:t>
      </w:r>
      <w:r w:rsidRPr="00740399">
        <w:rPr>
          <w:sz w:val="20"/>
          <w:szCs w:val="20"/>
        </w:rPr>
        <w:t xml:space="preserve"> pour une anomalie ou incident </w:t>
      </w:r>
      <w:proofErr w:type="gramStart"/>
      <w:r w:rsidRPr="00740399">
        <w:rPr>
          <w:sz w:val="20"/>
          <w:szCs w:val="20"/>
        </w:rPr>
        <w:t>mineur</w:t>
      </w:r>
      <w:r w:rsidR="70CE0719" w:rsidRPr="70CE0719">
        <w:rPr>
          <w:sz w:val="20"/>
          <w:szCs w:val="20"/>
        </w:rPr>
        <w:t>;</w:t>
      </w:r>
      <w:proofErr w:type="gramEnd"/>
    </w:p>
    <w:p w14:paraId="09C8C21B" w14:textId="3A847399" w:rsidR="70CE0719" w:rsidRDefault="70CE0719" w:rsidP="70CE0719">
      <w:pPr>
        <w:pStyle w:val="Paragraphedeliste"/>
        <w:numPr>
          <w:ilvl w:val="0"/>
          <w:numId w:val="18"/>
        </w:numPr>
        <w:spacing w:before="120" w:after="120"/>
        <w:ind w:left="714" w:hanging="357"/>
        <w:contextualSpacing w:val="0"/>
        <w:jc w:val="both"/>
        <w:rPr>
          <w:sz w:val="20"/>
          <w:szCs w:val="20"/>
        </w:rPr>
      </w:pPr>
      <w:r w:rsidRPr="70CE0719">
        <w:rPr>
          <w:sz w:val="20"/>
          <w:szCs w:val="20"/>
        </w:rPr>
        <w:t xml:space="preserve">À une pénalité journée de 300 euros à la suite d’une évolution corrective. </w:t>
      </w:r>
    </w:p>
    <w:p w14:paraId="2D567905" w14:textId="04EDA9AB" w:rsidR="00740399" w:rsidRDefault="00740399" w:rsidP="00740399">
      <w:pPr>
        <w:jc w:val="both"/>
        <w:rPr>
          <w:sz w:val="20"/>
          <w:szCs w:val="20"/>
        </w:rPr>
      </w:pPr>
      <w:r w:rsidRPr="00740399">
        <w:rPr>
          <w:sz w:val="20"/>
          <w:szCs w:val="20"/>
        </w:rPr>
        <w:t xml:space="preserve">Ces délais sont calculés à partir de la notification de l’incident/anomalie par le </w:t>
      </w:r>
      <w:r>
        <w:rPr>
          <w:sz w:val="20"/>
          <w:szCs w:val="20"/>
        </w:rPr>
        <w:t>CNM</w:t>
      </w:r>
      <w:r w:rsidRPr="00740399">
        <w:rPr>
          <w:sz w:val="20"/>
          <w:szCs w:val="20"/>
        </w:rPr>
        <w:t xml:space="preserve"> jusqu’à la livraison par le titulaire des informations complètes permettant la résolution.</w:t>
      </w:r>
    </w:p>
    <w:p w14:paraId="09C468B2" w14:textId="0825BA06" w:rsidR="00740399" w:rsidRPr="00740399" w:rsidRDefault="00740399" w:rsidP="00740399">
      <w:pPr>
        <w:pStyle w:val="Titre2"/>
        <w:shd w:val="clear" w:color="auto" w:fill="auto"/>
        <w:contextualSpacing/>
        <w:rPr>
          <w:bCs w:val="0"/>
          <w:color w:val="683766"/>
          <w:sz w:val="22"/>
          <w:szCs w:val="22"/>
        </w:rPr>
      </w:pPr>
      <w:bookmarkStart w:id="127" w:name="_Toc222243972"/>
      <w:r w:rsidRPr="00740399">
        <w:rPr>
          <w:bCs w:val="0"/>
          <w:color w:val="683766"/>
          <w:sz w:val="22"/>
          <w:szCs w:val="22"/>
        </w:rPr>
        <w:t>Pénalités relatives à la réversibilité</w:t>
      </w:r>
      <w:bookmarkEnd w:id="127"/>
      <w:r w:rsidRPr="00740399">
        <w:rPr>
          <w:bCs w:val="0"/>
          <w:color w:val="683766"/>
          <w:sz w:val="22"/>
          <w:szCs w:val="22"/>
        </w:rPr>
        <w:t xml:space="preserve"> </w:t>
      </w:r>
    </w:p>
    <w:p w14:paraId="66D67EB6" w14:textId="6F8145AD" w:rsidR="00740399" w:rsidRPr="00740399" w:rsidRDefault="00740399" w:rsidP="00740399">
      <w:pPr>
        <w:jc w:val="both"/>
        <w:rPr>
          <w:sz w:val="20"/>
          <w:szCs w:val="20"/>
        </w:rPr>
      </w:pPr>
      <w:r w:rsidRPr="00740399">
        <w:rPr>
          <w:sz w:val="20"/>
          <w:szCs w:val="20"/>
        </w:rPr>
        <w:t xml:space="preserve">Lorsque le délai contractuel relatif à la restitution des données et informations se trouve dépassé du fait du titulaire, celui-ci encourt, sans mise en demeure préalable, une pénalité forfaitaire de </w:t>
      </w:r>
      <w:r w:rsidR="00A179CD">
        <w:rPr>
          <w:sz w:val="20"/>
          <w:szCs w:val="20"/>
        </w:rPr>
        <w:t xml:space="preserve">1200 </w:t>
      </w:r>
      <w:r w:rsidR="001923A8">
        <w:rPr>
          <w:sz w:val="20"/>
          <w:szCs w:val="20"/>
        </w:rPr>
        <w:t>euros</w:t>
      </w:r>
      <w:r w:rsidRPr="00740399">
        <w:rPr>
          <w:sz w:val="20"/>
          <w:szCs w:val="20"/>
        </w:rPr>
        <w:t xml:space="preserve"> par jour ouvré de retard sur les prestations restant dues.</w:t>
      </w:r>
    </w:p>
    <w:p w14:paraId="72816FF2" w14:textId="08C74FE2" w:rsidR="001B7983" w:rsidRDefault="001B7983" w:rsidP="007A5EE5">
      <w:pPr>
        <w:pStyle w:val="Titre2"/>
        <w:shd w:val="clear" w:color="auto" w:fill="auto"/>
        <w:contextualSpacing/>
        <w:rPr>
          <w:bCs w:val="0"/>
          <w:color w:val="683766"/>
          <w:sz w:val="22"/>
          <w:szCs w:val="22"/>
        </w:rPr>
      </w:pPr>
      <w:bookmarkStart w:id="128" w:name="_Toc222243973"/>
      <w:r>
        <w:rPr>
          <w:bCs w:val="0"/>
          <w:color w:val="683766"/>
          <w:sz w:val="22"/>
          <w:szCs w:val="22"/>
        </w:rPr>
        <w:t>Pénalités pour non-respect des obligations en matière de lutte contre le travail dissimulé</w:t>
      </w:r>
      <w:bookmarkEnd w:id="128"/>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29" w:name="_Toc222243974"/>
      <w:r w:rsidRPr="00050F55">
        <w:rPr>
          <w:bCs w:val="0"/>
          <w:color w:val="683766"/>
          <w:sz w:val="22"/>
          <w:szCs w:val="22"/>
        </w:rPr>
        <w:t>Autres pénalités</w:t>
      </w:r>
      <w:bookmarkEnd w:id="129"/>
    </w:p>
    <w:p w14:paraId="2C022816" w14:textId="32FD261F" w:rsidR="007A5EE5" w:rsidRPr="00B473D9" w:rsidRDefault="007A5EE5" w:rsidP="007A5EE5">
      <w:pPr>
        <w:jc w:val="both"/>
        <w:rPr>
          <w:sz w:val="20"/>
          <w:szCs w:val="20"/>
        </w:rPr>
      </w:pPr>
      <w:r w:rsidRPr="00B473D9">
        <w:rPr>
          <w:sz w:val="20"/>
          <w:szCs w:val="20"/>
        </w:rPr>
        <w:t>En complément de l’article 14 du CCAG-</w:t>
      </w:r>
      <w:r w:rsidR="00843FB2">
        <w:rPr>
          <w:sz w:val="20"/>
          <w:szCs w:val="20"/>
        </w:rPr>
        <w:t>TIC</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C96534">
      <w:pPr>
        <w:pStyle w:val="Paragraphedeliste"/>
        <w:numPr>
          <w:ilvl w:val="0"/>
          <w:numId w:val="16"/>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30" w:name="_Toc222243975"/>
      <w:bookmarkEnd w:id="124"/>
      <w:r>
        <w:rPr>
          <w:color w:val="FFFFFF" w:themeColor="background1"/>
        </w:rPr>
        <w:lastRenderedPageBreak/>
        <w:t>Constatation de l’exécution des prestations</w:t>
      </w:r>
      <w:bookmarkEnd w:id="130"/>
    </w:p>
    <w:p w14:paraId="1948BE6C" w14:textId="68561A14" w:rsidR="00E51F54" w:rsidRPr="00C96534" w:rsidRDefault="00E51F54" w:rsidP="00C96534">
      <w:pPr>
        <w:pStyle w:val="Titre2"/>
        <w:shd w:val="clear" w:color="auto" w:fill="auto"/>
        <w:contextualSpacing/>
        <w:rPr>
          <w:bCs w:val="0"/>
          <w:color w:val="683766"/>
          <w:sz w:val="22"/>
          <w:szCs w:val="22"/>
        </w:rPr>
      </w:pPr>
      <w:bookmarkStart w:id="131" w:name="_Toc82447959"/>
      <w:bookmarkStart w:id="132" w:name="_Hlk184224966"/>
      <w:bookmarkStart w:id="133" w:name="_Toc222243976"/>
      <w:r w:rsidRPr="00C96534">
        <w:rPr>
          <w:bCs w:val="0"/>
          <w:color w:val="683766"/>
          <w:sz w:val="22"/>
          <w:szCs w:val="22"/>
        </w:rPr>
        <w:t>Installation et mise en ordre de marche</w:t>
      </w:r>
      <w:bookmarkEnd w:id="131"/>
      <w:bookmarkEnd w:id="133"/>
      <w:r w:rsidRPr="00C96534">
        <w:rPr>
          <w:bCs w:val="0"/>
          <w:color w:val="683766"/>
          <w:sz w:val="22"/>
          <w:szCs w:val="22"/>
        </w:rPr>
        <w:t xml:space="preserve"> </w:t>
      </w:r>
    </w:p>
    <w:p w14:paraId="16BE0676"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L’installation et la mise en ordre de marche seront réalisées par le titulaire dans les conditions définies par l’article 29 du CCAG-TIC.</w:t>
      </w:r>
    </w:p>
    <w:p w14:paraId="130A8C73"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 titulaire remet un procès-verbal de mise en ordre de marche à l’acheteur et lui indique s’il sera présent aux opérations de vérification. Ce procès-verbal pourra prendre la forme d’un mail, qui vaudra alors mise en ordre de marche.</w:t>
      </w:r>
    </w:p>
    <w:p w14:paraId="16BAD85E" w14:textId="0DEC8C6D" w:rsidR="00E51F54" w:rsidRPr="00C96534" w:rsidRDefault="00E51F54" w:rsidP="00C96534">
      <w:pPr>
        <w:pStyle w:val="Titre2"/>
        <w:shd w:val="clear" w:color="auto" w:fill="auto"/>
        <w:contextualSpacing/>
        <w:rPr>
          <w:bCs w:val="0"/>
          <w:color w:val="683766"/>
          <w:sz w:val="22"/>
          <w:szCs w:val="22"/>
        </w:rPr>
      </w:pPr>
      <w:bookmarkStart w:id="134" w:name="_Toc82447960"/>
      <w:bookmarkStart w:id="135" w:name="_Toc222243977"/>
      <w:r w:rsidRPr="00C96534">
        <w:rPr>
          <w:bCs w:val="0"/>
          <w:color w:val="683766"/>
          <w:sz w:val="22"/>
          <w:szCs w:val="22"/>
        </w:rPr>
        <w:t>Modalités des opérations de vérification</w:t>
      </w:r>
      <w:bookmarkEnd w:id="134"/>
      <w:bookmarkEnd w:id="135"/>
    </w:p>
    <w:p w14:paraId="190B57A8"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seront effectuées dans les conditions suivantes :</w:t>
      </w:r>
    </w:p>
    <w:p w14:paraId="632E82C6" w14:textId="0D61B997"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Lieu des opérations de vérification</w:t>
      </w:r>
      <w:r w:rsidRPr="00C96534">
        <w:rPr>
          <w:rFonts w:ascii="Calibri" w:hAnsi="Calibri" w:cs="Calibri"/>
          <w:color w:val="000000"/>
          <w:sz w:val="20"/>
          <w:szCs w:val="20"/>
        </w:rPr>
        <w:t xml:space="preserve"> : </w:t>
      </w:r>
      <w:r w:rsidR="001923A8">
        <w:rPr>
          <w:rFonts w:ascii="Calibri" w:hAnsi="Calibri" w:cs="Calibri"/>
          <w:color w:val="000000"/>
          <w:sz w:val="20"/>
          <w:szCs w:val="20"/>
        </w:rPr>
        <w:t>Centre national de la musique 151-157 avenue de France</w:t>
      </w:r>
    </w:p>
    <w:p w14:paraId="0A5BCF5B" w14:textId="1B5BAF86"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Point de départ du délai pour les opérations de vérification</w:t>
      </w:r>
      <w:r w:rsidRPr="00C96534">
        <w:rPr>
          <w:rFonts w:ascii="Calibri" w:hAnsi="Calibri" w:cs="Calibri"/>
          <w:color w:val="000000"/>
          <w:sz w:val="20"/>
          <w:szCs w:val="20"/>
        </w:rPr>
        <w:t> : Il sera fait application de l’article 30.1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F2E9F56" w14:textId="4D0C3964" w:rsidR="00E51F54" w:rsidRPr="00C96534" w:rsidRDefault="00E51F54" w:rsidP="00C96534">
      <w:pPr>
        <w:pStyle w:val="Paragraphedeliste"/>
        <w:numPr>
          <w:ilvl w:val="0"/>
          <w:numId w:val="28"/>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Modalités de réalisation des opérations de vérification</w:t>
      </w:r>
      <w:r w:rsidRPr="00C96534">
        <w:rPr>
          <w:rFonts w:ascii="Calibri" w:hAnsi="Calibri" w:cs="Calibri"/>
          <w:color w:val="000000"/>
          <w:sz w:val="20"/>
          <w:szCs w:val="20"/>
        </w:rPr>
        <w:t> : Il sera fait application de l’article 30.3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267D45F8" w14:textId="5B4AAE9B" w:rsidR="00C96534" w:rsidRPr="00C96534" w:rsidRDefault="00C96534" w:rsidP="00C96534">
      <w:pPr>
        <w:pStyle w:val="Titre2"/>
        <w:shd w:val="clear" w:color="auto" w:fill="auto"/>
        <w:contextualSpacing/>
        <w:rPr>
          <w:bCs w:val="0"/>
          <w:color w:val="683766"/>
          <w:sz w:val="22"/>
          <w:szCs w:val="22"/>
        </w:rPr>
      </w:pPr>
      <w:bookmarkStart w:id="136" w:name="_Toc82447961"/>
      <w:bookmarkStart w:id="137" w:name="_Toc222243978"/>
      <w:bookmarkEnd w:id="132"/>
      <w:r w:rsidRPr="00C96534">
        <w:rPr>
          <w:bCs w:val="0"/>
          <w:color w:val="683766"/>
          <w:sz w:val="22"/>
          <w:szCs w:val="22"/>
        </w:rPr>
        <w:t>Vérifications quantitatives</w:t>
      </w:r>
      <w:bookmarkEnd w:id="136"/>
      <w:bookmarkEnd w:id="137"/>
    </w:p>
    <w:p w14:paraId="2EF212FC" w14:textId="4288357B"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Il sera fait application des dispositions de l’article 31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17CF29DC" w14:textId="6A621BE4" w:rsidR="00C96534" w:rsidRPr="00C96534" w:rsidRDefault="00C96534" w:rsidP="00C96534">
      <w:pPr>
        <w:pStyle w:val="Titre2"/>
        <w:shd w:val="clear" w:color="auto" w:fill="auto"/>
        <w:contextualSpacing/>
        <w:rPr>
          <w:bCs w:val="0"/>
          <w:color w:val="683766"/>
          <w:sz w:val="22"/>
          <w:szCs w:val="22"/>
        </w:rPr>
      </w:pPr>
      <w:bookmarkStart w:id="138" w:name="_Toc82447962"/>
      <w:bookmarkStart w:id="139" w:name="_Toc222243979"/>
      <w:r w:rsidRPr="00C96534">
        <w:rPr>
          <w:bCs w:val="0"/>
          <w:color w:val="683766"/>
          <w:sz w:val="22"/>
          <w:szCs w:val="22"/>
        </w:rPr>
        <w:t>Vérifications qualitatives</w:t>
      </w:r>
      <w:bookmarkEnd w:id="138"/>
      <w:bookmarkEnd w:id="139"/>
    </w:p>
    <w:p w14:paraId="0185AE60" w14:textId="0A994221" w:rsid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qualitatives, qui intègrent la vérification d’aptitude (VA) et la vérification de service régulier (VSR), seront réalisées dans les conditions fixées par l’article 32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5378B63" w14:textId="725B6EF8" w:rsidR="0033462D" w:rsidRPr="00C96534" w:rsidRDefault="00DB2D45" w:rsidP="00C96534">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 xml:space="preserve">En complément de l’article précité, les prestations de développement font l’objet de vérifications qualitatives simples au moment même de l’exécution du service. Elles donnent lieu à l’établissement d’un </w:t>
      </w:r>
      <w:r w:rsidR="00F67A08">
        <w:rPr>
          <w:rFonts w:ascii="Calibri" w:hAnsi="Calibri" w:cs="Calibri"/>
          <w:color w:val="000000"/>
          <w:sz w:val="20"/>
          <w:szCs w:val="20"/>
        </w:rPr>
        <w:t xml:space="preserve">procès-verbal de réception </w:t>
      </w:r>
      <w:r>
        <w:rPr>
          <w:rFonts w:ascii="Calibri" w:hAnsi="Calibri" w:cs="Calibri"/>
          <w:color w:val="000000"/>
          <w:sz w:val="20"/>
          <w:szCs w:val="20"/>
        </w:rPr>
        <w:t>par l’acheteur</w:t>
      </w:r>
      <w:r w:rsidR="005A3C15">
        <w:rPr>
          <w:rFonts w:ascii="Calibri" w:hAnsi="Calibri" w:cs="Calibri"/>
          <w:color w:val="000000"/>
          <w:sz w:val="20"/>
          <w:szCs w:val="20"/>
        </w:rPr>
        <w:t>, avec ou sans réserve</w:t>
      </w:r>
      <w:r>
        <w:rPr>
          <w:rFonts w:ascii="Calibri" w:hAnsi="Calibri" w:cs="Calibri"/>
          <w:color w:val="000000"/>
          <w:sz w:val="20"/>
          <w:szCs w:val="20"/>
        </w:rPr>
        <w:t>.</w:t>
      </w:r>
      <w:r w:rsidR="005A3C15">
        <w:rPr>
          <w:rFonts w:ascii="Calibri" w:hAnsi="Calibri" w:cs="Calibri"/>
          <w:color w:val="000000"/>
          <w:sz w:val="20"/>
          <w:szCs w:val="20"/>
        </w:rPr>
        <w:t xml:space="preserve"> </w:t>
      </w:r>
      <w:r w:rsidR="0033462D">
        <w:rPr>
          <w:rFonts w:ascii="Calibri" w:hAnsi="Calibri" w:cs="Calibri"/>
          <w:color w:val="000000"/>
          <w:sz w:val="20"/>
          <w:szCs w:val="20"/>
        </w:rPr>
        <w:t>Par dérogation à l’article 34.1 du CCAG-TIC, aucune admission tacite des prestations n’est prévue dans le cadre de l’exécution du présent accord-cadre.</w:t>
      </w:r>
    </w:p>
    <w:p w14:paraId="29E81A33" w14:textId="655470F3" w:rsidR="00C96534" w:rsidRPr="00C96534" w:rsidRDefault="00C96534" w:rsidP="00C96534">
      <w:pPr>
        <w:pStyle w:val="Titre2"/>
        <w:shd w:val="clear" w:color="auto" w:fill="auto"/>
        <w:contextualSpacing/>
        <w:rPr>
          <w:bCs w:val="0"/>
          <w:color w:val="683766"/>
          <w:sz w:val="22"/>
          <w:szCs w:val="22"/>
        </w:rPr>
      </w:pPr>
      <w:bookmarkStart w:id="140" w:name="_Toc82447963"/>
      <w:bookmarkStart w:id="141" w:name="_Toc222243980"/>
      <w:r w:rsidRPr="00C96534">
        <w:rPr>
          <w:bCs w:val="0"/>
          <w:color w:val="683766"/>
          <w:sz w:val="22"/>
          <w:szCs w:val="22"/>
        </w:rPr>
        <w:t>Décision après vérification</w:t>
      </w:r>
      <w:bookmarkEnd w:id="140"/>
      <w:bookmarkEnd w:id="141"/>
    </w:p>
    <w:p w14:paraId="4841E4B7" w14:textId="7777777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342EA">
        <w:rPr>
          <w:rFonts w:ascii="Calibri" w:hAnsi="Calibri" w:cs="Calibri"/>
          <w:color w:val="000000"/>
          <w:sz w:val="20"/>
          <w:szCs w:val="20"/>
        </w:rPr>
        <w:t>Lorsque le marché comporte des prestations distinctes, la livraison de chaque prestation fait l’objet de vérifications et de décisions distinctes.</w:t>
      </w:r>
    </w:p>
    <w:p w14:paraId="22F01BEF" w14:textId="0CCCFFAB"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La décision sera prononcée par l’acheteur conformément aux dispositions de l’article 33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06C5AB7" w14:textId="76E76D02"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Admission</w:t>
      </w:r>
      <w:r w:rsidRPr="000342EA">
        <w:rPr>
          <w:rFonts w:ascii="Calibri" w:hAnsi="Calibri" w:cs="Calibri"/>
          <w:color w:val="000000"/>
          <w:sz w:val="20"/>
          <w:szCs w:val="20"/>
        </w:rPr>
        <w:t> : Application de l’article 34.1 du CCAG</w:t>
      </w:r>
      <w:r w:rsidR="0063793D" w:rsidRPr="000342EA">
        <w:rPr>
          <w:rFonts w:ascii="Calibri" w:hAnsi="Calibri" w:cs="Calibri"/>
          <w:color w:val="000000"/>
          <w:sz w:val="20"/>
          <w:szCs w:val="20"/>
        </w:rPr>
        <w:t>-TIC</w:t>
      </w:r>
      <w:r w:rsidRPr="000342EA">
        <w:rPr>
          <w:rFonts w:ascii="Calibri" w:hAnsi="Calibri" w:cs="Calibri"/>
          <w:color w:val="000000"/>
          <w:sz w:val="20"/>
          <w:szCs w:val="20"/>
        </w:rPr>
        <w:t>.</w:t>
      </w:r>
    </w:p>
    <w:p w14:paraId="07E115D8" w14:textId="29B815E3"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Ajournement</w:t>
      </w:r>
      <w:r w:rsidRPr="000342EA">
        <w:rPr>
          <w:rFonts w:ascii="Calibri" w:hAnsi="Calibri" w:cs="Calibri"/>
          <w:color w:val="000000"/>
          <w:sz w:val="20"/>
          <w:szCs w:val="20"/>
        </w:rPr>
        <w:t> : Par dérogation</w:t>
      </w:r>
      <w:r w:rsidR="0063793D" w:rsidRPr="000342EA">
        <w:rPr>
          <w:rFonts w:ascii="Calibri" w:hAnsi="Calibri" w:cs="Calibri"/>
          <w:color w:val="000000"/>
          <w:sz w:val="20"/>
          <w:szCs w:val="20"/>
        </w:rPr>
        <w:t xml:space="preserve"> </w:t>
      </w:r>
      <w:r w:rsidRPr="000342EA">
        <w:rPr>
          <w:rFonts w:ascii="Calibri" w:hAnsi="Calibri" w:cs="Calibri"/>
          <w:color w:val="000000"/>
          <w:sz w:val="20"/>
          <w:szCs w:val="20"/>
        </w:rPr>
        <w:t>à l’article 34.2.1 du CCAG</w:t>
      </w:r>
      <w:r w:rsidR="0063793D" w:rsidRPr="000342EA">
        <w:rPr>
          <w:rFonts w:ascii="Calibri" w:hAnsi="Calibri" w:cs="Calibri"/>
          <w:color w:val="000000"/>
          <w:sz w:val="20"/>
          <w:szCs w:val="20"/>
        </w:rPr>
        <w:t>-</w:t>
      </w:r>
      <w:r w:rsidRPr="000342EA">
        <w:rPr>
          <w:rFonts w:ascii="Calibri" w:hAnsi="Calibri" w:cs="Calibri"/>
          <w:color w:val="000000"/>
          <w:sz w:val="20"/>
          <w:szCs w:val="20"/>
        </w:rPr>
        <w:t xml:space="preserve">TIC, la décision d’ajournement de l’acheteur, prise à l’issue des opérations de vérification invite le titulaire à présenter à nouveau à l’acheteur les prestations mises au point, dans </w:t>
      </w:r>
      <w:r w:rsidR="00426D38">
        <w:rPr>
          <w:rFonts w:ascii="Calibri" w:hAnsi="Calibri" w:cs="Calibri"/>
          <w:color w:val="000000"/>
          <w:sz w:val="20"/>
          <w:szCs w:val="20"/>
        </w:rPr>
        <w:t>le délai indiqué</w:t>
      </w:r>
      <w:r w:rsidR="00DE1116">
        <w:rPr>
          <w:rFonts w:ascii="Calibri" w:hAnsi="Calibri" w:cs="Calibri"/>
          <w:color w:val="000000"/>
          <w:sz w:val="20"/>
          <w:szCs w:val="20"/>
        </w:rPr>
        <w:t xml:space="preserve"> dans le procès-verbal de réception </w:t>
      </w:r>
      <w:r w:rsidR="00F05085">
        <w:rPr>
          <w:rFonts w:ascii="Calibri" w:hAnsi="Calibri" w:cs="Calibri"/>
          <w:color w:val="000000"/>
          <w:sz w:val="20"/>
          <w:szCs w:val="20"/>
        </w:rPr>
        <w:t>avec réserve</w:t>
      </w:r>
      <w:r w:rsidRPr="000342EA">
        <w:rPr>
          <w:rFonts w:ascii="Calibri" w:hAnsi="Calibri" w:cs="Calibri"/>
          <w:color w:val="000000"/>
          <w:sz w:val="20"/>
          <w:szCs w:val="20"/>
        </w:rPr>
        <w:t xml:space="preserve">. Le titulaire doit faire connaître son acceptation dans un délai de </w:t>
      </w:r>
      <w:r w:rsidR="00F05085">
        <w:rPr>
          <w:rFonts w:ascii="Calibri" w:hAnsi="Calibri" w:cs="Calibri"/>
          <w:color w:val="000000"/>
          <w:sz w:val="20"/>
          <w:szCs w:val="20"/>
        </w:rPr>
        <w:t>1</w:t>
      </w:r>
      <w:r w:rsidR="00F05085" w:rsidRPr="000342EA">
        <w:rPr>
          <w:rFonts w:ascii="Calibri" w:hAnsi="Calibri" w:cs="Calibri"/>
          <w:color w:val="000000"/>
          <w:sz w:val="20"/>
          <w:szCs w:val="20"/>
        </w:rPr>
        <w:t xml:space="preserve"> </w:t>
      </w:r>
      <w:r w:rsidRPr="000342EA">
        <w:rPr>
          <w:rFonts w:ascii="Calibri" w:hAnsi="Calibri" w:cs="Calibri"/>
          <w:color w:val="000000"/>
          <w:sz w:val="20"/>
          <w:szCs w:val="20"/>
        </w:rPr>
        <w:t>jours calendaires, à compter de la notification de la décision d’ajournement.</w:t>
      </w:r>
    </w:p>
    <w:p w14:paraId="610FC094" w14:textId="1B992D14"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Réfaction</w:t>
      </w:r>
      <w:r w:rsidRPr="000342EA">
        <w:rPr>
          <w:rFonts w:ascii="Calibri" w:hAnsi="Calibri" w:cs="Calibri"/>
          <w:color w:val="000000"/>
          <w:sz w:val="20"/>
          <w:szCs w:val="20"/>
        </w:rPr>
        <w:t> : Par dérogation à l’article 34.3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 si le titulaire ne présente pas d’observation dans les 15 jours suivant la décision de réception avec réfaction, il est réputé l’avoir accepté.</w:t>
      </w:r>
    </w:p>
    <w:p w14:paraId="345BE80D" w14:textId="1A349C03" w:rsidR="00C96534" w:rsidRDefault="00C96534" w:rsidP="000342EA">
      <w:pPr>
        <w:tabs>
          <w:tab w:val="center" w:pos="4536"/>
        </w:tabs>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Rejet</w:t>
      </w:r>
      <w:r w:rsidRPr="000342EA">
        <w:rPr>
          <w:rFonts w:ascii="Calibri" w:hAnsi="Calibri" w:cs="Calibri"/>
          <w:color w:val="000000"/>
          <w:sz w:val="20"/>
          <w:szCs w:val="20"/>
        </w:rPr>
        <w:t> : Application de l’article 34.4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w:t>
      </w:r>
      <w:r w:rsidR="000342EA">
        <w:rPr>
          <w:rFonts w:ascii="Calibri" w:hAnsi="Calibri" w:cs="Calibri"/>
          <w:color w:val="000000"/>
          <w:sz w:val="20"/>
          <w:szCs w:val="20"/>
        </w:rPr>
        <w:tab/>
      </w:r>
    </w:p>
    <w:p w14:paraId="708F55CB" w14:textId="77777777" w:rsidR="000342EA" w:rsidRPr="000342EA" w:rsidRDefault="000342EA" w:rsidP="000925EB">
      <w:pPr>
        <w:tabs>
          <w:tab w:val="center" w:pos="4536"/>
        </w:tabs>
        <w:autoSpaceDE w:val="0"/>
        <w:autoSpaceDN w:val="0"/>
        <w:adjustRightInd w:val="0"/>
        <w:spacing w:before="120" w:after="0"/>
        <w:jc w:val="both"/>
        <w:rPr>
          <w:rFonts w:ascii="Calibri" w:hAnsi="Calibri" w:cs="Calibri"/>
          <w:color w:val="000000"/>
          <w:sz w:val="20"/>
          <w:szCs w:val="20"/>
        </w:rPr>
      </w:pPr>
    </w:p>
    <w:p w14:paraId="7DFDDE1C" w14:textId="5D9D2FAB" w:rsidR="00C756C6" w:rsidRPr="00622EC0" w:rsidRDefault="00C756C6" w:rsidP="00622EC0">
      <w:pPr>
        <w:pStyle w:val="Titre1"/>
        <w:shd w:val="clear" w:color="auto" w:fill="DC8C00"/>
        <w:contextualSpacing/>
        <w:rPr>
          <w:color w:val="FFFFFF" w:themeColor="background1"/>
        </w:rPr>
      </w:pPr>
      <w:bookmarkStart w:id="142" w:name="_Toc222243981"/>
      <w:r w:rsidRPr="00622EC0">
        <w:rPr>
          <w:color w:val="FFFFFF" w:themeColor="background1"/>
        </w:rPr>
        <w:t>Garantie</w:t>
      </w:r>
      <w:bookmarkEnd w:id="142"/>
    </w:p>
    <w:p w14:paraId="2506E295" w14:textId="5BAFA90D" w:rsidR="00A03E5F"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w:t>
      </w:r>
      <w:r w:rsidR="009F6E4B">
        <w:rPr>
          <w:sz w:val="20"/>
          <w:szCs w:val="20"/>
          <w:lang w:eastAsia="fr-FR"/>
        </w:rPr>
        <w:t>6</w:t>
      </w:r>
      <w:r w:rsidRPr="00B473D9">
        <w:rPr>
          <w:sz w:val="20"/>
          <w:szCs w:val="20"/>
          <w:lang w:eastAsia="fr-FR"/>
        </w:rPr>
        <w:t xml:space="preserve"> du CCAG-</w:t>
      </w:r>
      <w:r w:rsidR="009F6E4B">
        <w:rPr>
          <w:sz w:val="20"/>
          <w:szCs w:val="20"/>
          <w:lang w:eastAsia="fr-FR"/>
        </w:rPr>
        <w:t>TIC</w:t>
      </w:r>
      <w:r w:rsidRPr="00B473D9">
        <w:rPr>
          <w:sz w:val="20"/>
          <w:szCs w:val="20"/>
          <w:lang w:eastAsia="fr-FR"/>
        </w:rPr>
        <w:t xml:space="preserve">. </w:t>
      </w:r>
    </w:p>
    <w:p w14:paraId="225F0CD5" w14:textId="76409CC9" w:rsidR="00C96534" w:rsidRPr="00C96534" w:rsidRDefault="00C96534" w:rsidP="00C96534">
      <w:pPr>
        <w:pStyle w:val="Titre1"/>
        <w:shd w:val="clear" w:color="auto" w:fill="DC8C00"/>
        <w:contextualSpacing/>
        <w:rPr>
          <w:color w:val="FFFFFF" w:themeColor="background1"/>
        </w:rPr>
      </w:pPr>
      <w:bookmarkStart w:id="143" w:name="_Toc82447966"/>
      <w:bookmarkStart w:id="144" w:name="_Hlk85188016"/>
      <w:r w:rsidRPr="00C96534">
        <w:rPr>
          <w:color w:val="FFFFFF" w:themeColor="background1"/>
        </w:rPr>
        <w:lastRenderedPageBreak/>
        <w:t xml:space="preserve"> </w:t>
      </w:r>
      <w:bookmarkStart w:id="145" w:name="_Toc222243982"/>
      <w:r w:rsidRPr="00C96534">
        <w:rPr>
          <w:color w:val="FFFFFF" w:themeColor="background1"/>
        </w:rPr>
        <w:t>M</w:t>
      </w:r>
      <w:r w:rsidR="00903516" w:rsidRPr="00C96534">
        <w:rPr>
          <w:color w:val="FFFFFF" w:themeColor="background1"/>
        </w:rPr>
        <w:t>aintenance des prestations</w:t>
      </w:r>
      <w:bookmarkEnd w:id="143"/>
      <w:bookmarkEnd w:id="145"/>
    </w:p>
    <w:p w14:paraId="337C0F2A" w14:textId="77777777" w:rsidR="00C96534" w:rsidRDefault="00C96534" w:rsidP="00C96534">
      <w:pPr>
        <w:spacing w:before="120" w:after="120"/>
        <w:jc w:val="both"/>
        <w:rPr>
          <w:sz w:val="20"/>
          <w:szCs w:val="20"/>
          <w:lang w:eastAsia="fr-FR"/>
        </w:rPr>
      </w:pPr>
      <w:r w:rsidRPr="00C96534">
        <w:rPr>
          <w:sz w:val="20"/>
          <w:szCs w:val="20"/>
          <w:lang w:eastAsia="fr-FR"/>
        </w:rPr>
        <w:t>Il sera fait application du chapitre 6 du CCAG TIC.</w:t>
      </w:r>
    </w:p>
    <w:p w14:paraId="43ED4E39" w14:textId="77777777" w:rsidR="005C2052" w:rsidRDefault="005C2052" w:rsidP="00C96534">
      <w:pPr>
        <w:spacing w:before="120" w:after="120"/>
        <w:jc w:val="both"/>
        <w:rPr>
          <w:sz w:val="20"/>
          <w:szCs w:val="20"/>
          <w:lang w:eastAsia="fr-FR"/>
        </w:rPr>
      </w:pPr>
    </w:p>
    <w:p w14:paraId="6E9592B9" w14:textId="4DFCF8B4" w:rsidR="005C2052" w:rsidRPr="00E46A4A" w:rsidRDefault="005C2052" w:rsidP="005C2052">
      <w:pPr>
        <w:pStyle w:val="Titre1"/>
        <w:shd w:val="clear" w:color="auto" w:fill="DC8C00"/>
        <w:contextualSpacing/>
        <w:rPr>
          <w:color w:val="FFFFFF" w:themeColor="background1"/>
        </w:rPr>
      </w:pPr>
      <w:bookmarkStart w:id="146" w:name="_Toc222243983"/>
      <w:r w:rsidRPr="00622EC0">
        <w:rPr>
          <w:color w:val="FFFFFF" w:themeColor="background1"/>
        </w:rPr>
        <w:t>R</w:t>
      </w:r>
      <w:r>
        <w:rPr>
          <w:color w:val="FFFFFF" w:themeColor="background1"/>
        </w:rPr>
        <w:t>éversibilité</w:t>
      </w:r>
      <w:bookmarkEnd w:id="146"/>
    </w:p>
    <w:p w14:paraId="3A19FBDC" w14:textId="40F68014" w:rsidR="005C2052" w:rsidRDefault="005C2052" w:rsidP="005C2052">
      <w:pPr>
        <w:spacing w:before="120" w:after="120"/>
        <w:jc w:val="both"/>
        <w:rPr>
          <w:sz w:val="20"/>
          <w:szCs w:val="20"/>
          <w:lang w:eastAsia="fr-FR"/>
        </w:rPr>
      </w:pPr>
      <w:r>
        <w:rPr>
          <w:sz w:val="20"/>
          <w:szCs w:val="20"/>
          <w:lang w:eastAsia="fr-FR"/>
        </w:rPr>
        <w:t xml:space="preserve">Le présent </w:t>
      </w:r>
      <w:r w:rsidR="009C534F">
        <w:rPr>
          <w:sz w:val="20"/>
          <w:szCs w:val="20"/>
          <w:lang w:eastAsia="fr-FR"/>
        </w:rPr>
        <w:t>accord-cadre</w:t>
      </w:r>
      <w:r>
        <w:rPr>
          <w:sz w:val="20"/>
          <w:szCs w:val="20"/>
          <w:lang w:eastAsia="fr-FR"/>
        </w:rPr>
        <w:t xml:space="preserve"> </w:t>
      </w:r>
      <w:r w:rsidRPr="005C2052">
        <w:rPr>
          <w:sz w:val="20"/>
          <w:szCs w:val="20"/>
          <w:lang w:eastAsia="fr-FR"/>
        </w:rPr>
        <w:t>inclut une prestation de réversibilité telle que définie aux articles 38.4 et 42 du CCAG</w:t>
      </w:r>
      <w:r>
        <w:rPr>
          <w:sz w:val="20"/>
          <w:szCs w:val="20"/>
          <w:lang w:eastAsia="fr-FR"/>
        </w:rPr>
        <w:t>-</w:t>
      </w:r>
      <w:r w:rsidRPr="005C2052">
        <w:rPr>
          <w:sz w:val="20"/>
          <w:szCs w:val="20"/>
          <w:lang w:eastAsia="fr-FR"/>
        </w:rPr>
        <w:t>TIC.</w:t>
      </w:r>
    </w:p>
    <w:p w14:paraId="5B57AA0D" w14:textId="7F0F4B90" w:rsidR="002C1F60" w:rsidRPr="005C2052" w:rsidRDefault="002C1F60" w:rsidP="002C1F60">
      <w:pPr>
        <w:spacing w:before="120" w:after="120"/>
        <w:jc w:val="both"/>
        <w:rPr>
          <w:sz w:val="20"/>
          <w:szCs w:val="20"/>
          <w:lang w:eastAsia="fr-FR"/>
        </w:rPr>
      </w:pPr>
      <w:r w:rsidRPr="002C1F60">
        <w:rPr>
          <w:sz w:val="20"/>
          <w:szCs w:val="20"/>
          <w:lang w:eastAsia="fr-FR"/>
        </w:rPr>
        <w:t>Dans le cadre du processus de r</w:t>
      </w:r>
      <w:r w:rsidRPr="002C1F60">
        <w:rPr>
          <w:rFonts w:hint="cs"/>
          <w:sz w:val="20"/>
          <w:szCs w:val="20"/>
          <w:lang w:eastAsia="fr-FR"/>
        </w:rPr>
        <w:t>é</w:t>
      </w:r>
      <w:r w:rsidRPr="002C1F60">
        <w:rPr>
          <w:sz w:val="20"/>
          <w:szCs w:val="20"/>
          <w:lang w:eastAsia="fr-FR"/>
        </w:rPr>
        <w:t>versibilit</w:t>
      </w:r>
      <w:r w:rsidRPr="002C1F60">
        <w:rPr>
          <w:rFonts w:hint="cs"/>
          <w:sz w:val="20"/>
          <w:szCs w:val="20"/>
          <w:lang w:eastAsia="fr-FR"/>
        </w:rPr>
        <w:t>é</w:t>
      </w:r>
      <w:r w:rsidRPr="002C1F60">
        <w:rPr>
          <w:sz w:val="20"/>
          <w:szCs w:val="20"/>
          <w:lang w:eastAsia="fr-FR"/>
        </w:rPr>
        <w:t xml:space="preserve">, le Titulaire fournit </w:t>
      </w:r>
      <w:r>
        <w:rPr>
          <w:sz w:val="20"/>
          <w:szCs w:val="20"/>
          <w:lang w:eastAsia="fr-FR"/>
        </w:rPr>
        <w:t>à l’acheteur</w:t>
      </w:r>
      <w:r w:rsidRPr="002C1F60">
        <w:rPr>
          <w:sz w:val="20"/>
          <w:szCs w:val="20"/>
          <w:lang w:eastAsia="fr-FR"/>
        </w:rPr>
        <w:t xml:space="preserve">, ou </w:t>
      </w:r>
      <w:r w:rsidRPr="002C1F60">
        <w:rPr>
          <w:rFonts w:hint="cs"/>
          <w:sz w:val="20"/>
          <w:szCs w:val="20"/>
          <w:lang w:eastAsia="fr-FR"/>
        </w:rPr>
        <w:t>à</w:t>
      </w:r>
      <w:r w:rsidRPr="002C1F60">
        <w:rPr>
          <w:sz w:val="20"/>
          <w:szCs w:val="20"/>
          <w:lang w:eastAsia="fr-FR"/>
        </w:rPr>
        <w:t xml:space="preserve"> tout autre prestataire</w:t>
      </w:r>
      <w:r>
        <w:rPr>
          <w:sz w:val="20"/>
          <w:szCs w:val="20"/>
          <w:lang w:eastAsia="fr-FR"/>
        </w:rPr>
        <w:t xml:space="preserve"> </w:t>
      </w:r>
      <w:r w:rsidRPr="002C1F60">
        <w:rPr>
          <w:sz w:val="20"/>
          <w:szCs w:val="20"/>
          <w:lang w:eastAsia="fr-FR"/>
        </w:rPr>
        <w:t>d</w:t>
      </w:r>
      <w:r w:rsidRPr="002C1F60">
        <w:rPr>
          <w:rFonts w:hint="cs"/>
          <w:sz w:val="20"/>
          <w:szCs w:val="20"/>
          <w:lang w:eastAsia="fr-FR"/>
        </w:rPr>
        <w:t>é</w:t>
      </w:r>
      <w:r w:rsidRPr="002C1F60">
        <w:rPr>
          <w:sz w:val="20"/>
          <w:szCs w:val="20"/>
          <w:lang w:eastAsia="fr-FR"/>
        </w:rPr>
        <w:t>sign</w:t>
      </w:r>
      <w:r w:rsidRPr="002C1F60">
        <w:rPr>
          <w:rFonts w:hint="cs"/>
          <w:sz w:val="20"/>
          <w:szCs w:val="20"/>
          <w:lang w:eastAsia="fr-FR"/>
        </w:rPr>
        <w:t>é</w:t>
      </w:r>
      <w:r w:rsidRPr="002C1F60">
        <w:rPr>
          <w:sz w:val="20"/>
          <w:szCs w:val="20"/>
          <w:lang w:eastAsia="fr-FR"/>
        </w:rPr>
        <w:t xml:space="preserve"> par lui, toute l'assistance et les informations n</w:t>
      </w:r>
      <w:r w:rsidRPr="002C1F60">
        <w:rPr>
          <w:rFonts w:hint="cs"/>
          <w:sz w:val="20"/>
          <w:szCs w:val="20"/>
          <w:lang w:eastAsia="fr-FR"/>
        </w:rPr>
        <w:t>é</w:t>
      </w:r>
      <w:r w:rsidRPr="002C1F60">
        <w:rPr>
          <w:sz w:val="20"/>
          <w:szCs w:val="20"/>
          <w:lang w:eastAsia="fr-FR"/>
        </w:rPr>
        <w:t>cessaires.</w:t>
      </w:r>
    </w:p>
    <w:p w14:paraId="658C2B4A" w14:textId="5700B181" w:rsidR="005C2052" w:rsidRPr="005C2052" w:rsidRDefault="005C2052" w:rsidP="005C2052">
      <w:pPr>
        <w:spacing w:before="120" w:after="120"/>
        <w:jc w:val="both"/>
        <w:rPr>
          <w:sz w:val="20"/>
          <w:szCs w:val="20"/>
          <w:lang w:eastAsia="fr-FR"/>
        </w:rPr>
      </w:pPr>
      <w:r w:rsidRPr="005C2052">
        <w:rPr>
          <w:sz w:val="20"/>
          <w:szCs w:val="20"/>
          <w:lang w:eastAsia="fr-FR"/>
        </w:rPr>
        <w:t>Cette étape correspond à la mise en place des éléments de réversibilité sur le</w:t>
      </w:r>
      <w:r>
        <w:rPr>
          <w:sz w:val="20"/>
          <w:szCs w:val="20"/>
          <w:lang w:eastAsia="fr-FR"/>
        </w:rPr>
        <w:t xml:space="preserve"> </w:t>
      </w:r>
      <w:r w:rsidRPr="005C2052">
        <w:rPr>
          <w:sz w:val="20"/>
          <w:szCs w:val="20"/>
          <w:lang w:eastAsia="fr-FR"/>
        </w:rPr>
        <w:t xml:space="preserve">plan technique pour permettre au </w:t>
      </w:r>
      <w:r>
        <w:rPr>
          <w:sz w:val="20"/>
          <w:szCs w:val="20"/>
          <w:lang w:eastAsia="fr-FR"/>
        </w:rPr>
        <w:t>titulaire</w:t>
      </w:r>
      <w:r w:rsidRPr="005C2052">
        <w:rPr>
          <w:sz w:val="20"/>
          <w:szCs w:val="20"/>
          <w:lang w:eastAsia="fr-FR"/>
        </w:rPr>
        <w:t xml:space="preserve"> suivant de reprendre le contrôle dans des conditions optimales,</w:t>
      </w:r>
      <w:r>
        <w:rPr>
          <w:sz w:val="20"/>
          <w:szCs w:val="20"/>
          <w:lang w:eastAsia="fr-FR"/>
        </w:rPr>
        <w:t xml:space="preserve"> </w:t>
      </w:r>
      <w:r w:rsidRPr="005C2052">
        <w:rPr>
          <w:sz w:val="20"/>
          <w:szCs w:val="20"/>
          <w:lang w:eastAsia="fr-FR"/>
        </w:rPr>
        <w:t xml:space="preserve">de l’exploitation de l’application, objet du présent </w:t>
      </w:r>
      <w:r>
        <w:rPr>
          <w:sz w:val="20"/>
          <w:szCs w:val="20"/>
          <w:lang w:eastAsia="fr-FR"/>
        </w:rPr>
        <w:t>marché.</w:t>
      </w:r>
    </w:p>
    <w:p w14:paraId="3B400662" w14:textId="00738B38" w:rsidR="005C2052" w:rsidRPr="005C2052" w:rsidRDefault="002C1F60" w:rsidP="005C2052">
      <w:pPr>
        <w:spacing w:before="120" w:after="120"/>
        <w:jc w:val="both"/>
        <w:rPr>
          <w:sz w:val="20"/>
          <w:szCs w:val="20"/>
          <w:lang w:eastAsia="fr-FR"/>
        </w:rPr>
      </w:pPr>
      <w:r>
        <w:rPr>
          <w:sz w:val="20"/>
          <w:szCs w:val="20"/>
          <w:lang w:eastAsia="fr-FR"/>
        </w:rPr>
        <w:t xml:space="preserve">Le </w:t>
      </w:r>
      <w:r w:rsidR="005C2052">
        <w:rPr>
          <w:sz w:val="20"/>
          <w:szCs w:val="20"/>
          <w:lang w:eastAsia="fr-FR"/>
        </w:rPr>
        <w:t>titulaire</w:t>
      </w:r>
      <w:r w:rsidR="005C2052" w:rsidRPr="005C2052">
        <w:rPr>
          <w:sz w:val="20"/>
          <w:szCs w:val="20"/>
          <w:lang w:eastAsia="fr-FR"/>
        </w:rPr>
        <w:t xml:space="preserve"> fournit au </w:t>
      </w:r>
      <w:r w:rsidR="005C2052">
        <w:rPr>
          <w:sz w:val="20"/>
          <w:szCs w:val="20"/>
          <w:lang w:eastAsia="fr-FR"/>
        </w:rPr>
        <w:t>CNM</w:t>
      </w:r>
      <w:r>
        <w:rPr>
          <w:sz w:val="20"/>
          <w:szCs w:val="20"/>
          <w:lang w:eastAsia="fr-FR"/>
        </w:rPr>
        <w:t xml:space="preserve"> et/ou au prestataire désigné par ce dernier </w:t>
      </w:r>
      <w:r w:rsidRPr="002C1F60">
        <w:rPr>
          <w:sz w:val="20"/>
          <w:szCs w:val="20"/>
          <w:lang w:eastAsia="fr-FR"/>
        </w:rPr>
        <w:t>(ci-après désigné comme le « Successeur »)</w:t>
      </w:r>
      <w:r w:rsidR="005C2052" w:rsidRPr="005C2052">
        <w:rPr>
          <w:sz w:val="20"/>
          <w:szCs w:val="20"/>
          <w:lang w:eastAsia="fr-FR"/>
        </w:rPr>
        <w:t xml:space="preserve"> un export complet des</w:t>
      </w:r>
      <w:r w:rsidR="005C2052">
        <w:rPr>
          <w:sz w:val="20"/>
          <w:szCs w:val="20"/>
          <w:lang w:eastAsia="fr-FR"/>
        </w:rPr>
        <w:t xml:space="preserve"> </w:t>
      </w:r>
      <w:r w:rsidR="005C2052" w:rsidRPr="005C2052">
        <w:rPr>
          <w:sz w:val="20"/>
          <w:szCs w:val="20"/>
          <w:lang w:eastAsia="fr-FR"/>
        </w:rPr>
        <w:t xml:space="preserve">documents et données sous un format exploitable (xml, </w:t>
      </w:r>
      <w:proofErr w:type="spellStart"/>
      <w:r w:rsidR="005C2052" w:rsidRPr="005C2052">
        <w:rPr>
          <w:sz w:val="20"/>
          <w:szCs w:val="20"/>
          <w:lang w:eastAsia="fr-FR"/>
        </w:rPr>
        <w:t>Json</w:t>
      </w:r>
      <w:proofErr w:type="spellEnd"/>
      <w:r w:rsidR="70CE0719" w:rsidRPr="70CE0719">
        <w:rPr>
          <w:sz w:val="20"/>
          <w:szCs w:val="20"/>
          <w:lang w:eastAsia="fr-FR"/>
        </w:rPr>
        <w:t>).</w:t>
      </w:r>
      <w:r w:rsidR="00807A05">
        <w:rPr>
          <w:sz w:val="20"/>
          <w:szCs w:val="20"/>
          <w:lang w:eastAsia="fr-FR"/>
        </w:rPr>
        <w:t xml:space="preserve"> </w:t>
      </w:r>
      <w:r>
        <w:rPr>
          <w:sz w:val="20"/>
          <w:szCs w:val="20"/>
          <w:lang w:eastAsia="fr-FR"/>
        </w:rPr>
        <w:t>Le</w:t>
      </w:r>
      <w:r w:rsidR="005C2052" w:rsidRPr="005C2052">
        <w:rPr>
          <w:sz w:val="20"/>
          <w:szCs w:val="20"/>
          <w:lang w:eastAsia="fr-FR"/>
        </w:rPr>
        <w:t xml:space="preserve"> </w:t>
      </w:r>
      <w:r w:rsidR="005C2052">
        <w:rPr>
          <w:sz w:val="20"/>
          <w:szCs w:val="20"/>
          <w:lang w:eastAsia="fr-FR"/>
        </w:rPr>
        <w:t>titulaire</w:t>
      </w:r>
      <w:r w:rsidR="005C2052" w:rsidRPr="005C2052">
        <w:rPr>
          <w:sz w:val="20"/>
          <w:szCs w:val="20"/>
          <w:lang w:eastAsia="fr-FR"/>
        </w:rPr>
        <w:t xml:space="preserve"> assure une assistance au </w:t>
      </w:r>
      <w:r w:rsidR="005C2052">
        <w:rPr>
          <w:sz w:val="20"/>
          <w:szCs w:val="20"/>
          <w:lang w:eastAsia="fr-FR"/>
        </w:rPr>
        <w:t>CNM</w:t>
      </w:r>
      <w:r w:rsidR="005C2052" w:rsidRPr="005C2052">
        <w:rPr>
          <w:sz w:val="20"/>
          <w:szCs w:val="20"/>
          <w:lang w:eastAsia="fr-FR"/>
        </w:rPr>
        <w:t xml:space="preserve"> </w:t>
      </w:r>
      <w:r>
        <w:rPr>
          <w:sz w:val="20"/>
          <w:szCs w:val="20"/>
          <w:lang w:eastAsia="fr-FR"/>
        </w:rPr>
        <w:t xml:space="preserve">ou au successeur </w:t>
      </w:r>
      <w:r w:rsidR="005C2052" w:rsidRPr="005C2052">
        <w:rPr>
          <w:sz w:val="20"/>
          <w:szCs w:val="20"/>
          <w:lang w:eastAsia="fr-FR"/>
        </w:rPr>
        <w:t xml:space="preserve">selon les modalités et les conditions financières convenues entre les Parties. </w:t>
      </w:r>
      <w:r w:rsidR="452F0815" w:rsidRPr="452F0815">
        <w:rPr>
          <w:sz w:val="20"/>
          <w:szCs w:val="20"/>
          <w:lang w:eastAsia="fr-FR"/>
        </w:rPr>
        <w:t xml:space="preserve">Les prestations relatives à la </w:t>
      </w:r>
      <w:r w:rsidR="43F16BE3" w:rsidRPr="43F16BE3">
        <w:rPr>
          <w:sz w:val="20"/>
          <w:szCs w:val="20"/>
          <w:lang w:eastAsia="fr-FR"/>
        </w:rPr>
        <w:t>réversibilité sont indiquées dans</w:t>
      </w:r>
      <w:r w:rsidR="005C2052" w:rsidRPr="005C2052">
        <w:rPr>
          <w:sz w:val="20"/>
          <w:szCs w:val="20"/>
          <w:lang w:eastAsia="fr-FR"/>
        </w:rPr>
        <w:t xml:space="preserve"> le </w:t>
      </w:r>
      <w:r w:rsidR="43F16BE3" w:rsidRPr="43F16BE3">
        <w:rPr>
          <w:sz w:val="20"/>
          <w:szCs w:val="20"/>
          <w:lang w:eastAsia="fr-FR"/>
        </w:rPr>
        <w:t>CCTP.</w:t>
      </w:r>
    </w:p>
    <w:p w14:paraId="4CC85DE0" w14:textId="33568B0C" w:rsidR="00D72C23" w:rsidRDefault="005C2052" w:rsidP="00EA0A65">
      <w:pPr>
        <w:spacing w:before="120" w:after="120"/>
        <w:jc w:val="both"/>
        <w:rPr>
          <w:sz w:val="20"/>
          <w:szCs w:val="20"/>
          <w:lang w:eastAsia="fr-FR"/>
        </w:rPr>
      </w:pPr>
      <w:r w:rsidRPr="005C2052">
        <w:rPr>
          <w:sz w:val="20"/>
          <w:szCs w:val="20"/>
          <w:lang w:eastAsia="fr-FR"/>
        </w:rPr>
        <w:t xml:space="preserve">La durée de la réversibilité devra s’échelonner sur une durée maximale de </w:t>
      </w:r>
      <w:r w:rsidR="5302CF1F" w:rsidRPr="5302CF1F">
        <w:rPr>
          <w:sz w:val="20"/>
          <w:szCs w:val="20"/>
          <w:lang w:eastAsia="fr-FR"/>
        </w:rPr>
        <w:t>3</w:t>
      </w:r>
      <w:r w:rsidR="00FF069C">
        <w:rPr>
          <w:sz w:val="20"/>
          <w:szCs w:val="20"/>
          <w:lang w:eastAsia="fr-FR"/>
        </w:rPr>
        <w:t xml:space="preserve"> mois</w:t>
      </w:r>
      <w:r w:rsidR="00876915">
        <w:rPr>
          <w:sz w:val="20"/>
          <w:szCs w:val="20"/>
          <w:lang w:eastAsia="fr-FR"/>
        </w:rPr>
        <w:t xml:space="preserve"> à compter de</w:t>
      </w:r>
      <w:r w:rsidR="005D0A2D">
        <w:rPr>
          <w:sz w:val="20"/>
          <w:szCs w:val="20"/>
          <w:lang w:eastAsia="fr-FR"/>
        </w:rPr>
        <w:t xml:space="preserve"> la</w:t>
      </w:r>
      <w:r w:rsidR="00876915">
        <w:rPr>
          <w:sz w:val="20"/>
          <w:szCs w:val="20"/>
          <w:lang w:eastAsia="fr-FR"/>
        </w:rPr>
        <w:t xml:space="preserve"> </w:t>
      </w:r>
      <w:r w:rsidR="00520B09" w:rsidRPr="00520B09">
        <w:rPr>
          <w:sz w:val="20"/>
          <w:szCs w:val="20"/>
          <w:lang w:eastAsia="fr-FR"/>
        </w:rPr>
        <w:t>décision de mise en œuvre de la réversibilité</w:t>
      </w:r>
      <w:r w:rsidR="005D0A2D">
        <w:rPr>
          <w:sz w:val="20"/>
          <w:szCs w:val="20"/>
          <w:lang w:eastAsia="fr-FR"/>
        </w:rPr>
        <w:t xml:space="preserve">. </w:t>
      </w:r>
    </w:p>
    <w:p w14:paraId="153E17FE" w14:textId="77777777" w:rsidR="00FF069C" w:rsidRPr="00FF069C" w:rsidRDefault="00FF069C" w:rsidP="00FF069C">
      <w:pPr>
        <w:spacing w:before="120" w:after="120"/>
        <w:jc w:val="both"/>
        <w:rPr>
          <w:sz w:val="20"/>
          <w:szCs w:val="20"/>
          <w:lang w:eastAsia="fr-FR"/>
        </w:rPr>
      </w:pPr>
      <w:r w:rsidRPr="00FF069C">
        <w:rPr>
          <w:sz w:val="20"/>
          <w:szCs w:val="20"/>
          <w:lang w:eastAsia="fr-FR"/>
        </w:rPr>
        <w:t>Pendant la phase de réversibilité, l'application continue de fonctionner dans les mêmes conditions et modalités qu'au cours du marché. Ainsi, le Titulaire s'engage au maintien en condition opérationnelle jusqu'à achèvement de la phase de réversibilité. Durant cette période, le Titulaire ne peut, en aucune façon, modifier ou réduire ses prestations et ses obligations.</w:t>
      </w:r>
    </w:p>
    <w:p w14:paraId="0A2B2678" w14:textId="77777777" w:rsidR="00FF069C" w:rsidRPr="00FF069C" w:rsidRDefault="00FF069C" w:rsidP="00FF069C">
      <w:pPr>
        <w:spacing w:before="120" w:after="120"/>
        <w:jc w:val="both"/>
        <w:rPr>
          <w:sz w:val="20"/>
          <w:szCs w:val="20"/>
          <w:lang w:eastAsia="fr-FR"/>
        </w:rPr>
      </w:pPr>
      <w:r w:rsidRPr="00FF069C">
        <w:rPr>
          <w:sz w:val="20"/>
          <w:szCs w:val="20"/>
          <w:lang w:eastAsia="fr-FR"/>
        </w:rPr>
        <w:t>La bonne fin des opérations de réversibilité relève d'un engagement de résultat de la part du Titulaire.</w:t>
      </w:r>
    </w:p>
    <w:p w14:paraId="346F901A" w14:textId="77777777" w:rsidR="00FF069C" w:rsidRPr="00FF069C" w:rsidRDefault="00FF069C" w:rsidP="00FF069C">
      <w:pPr>
        <w:spacing w:before="120" w:after="120"/>
        <w:jc w:val="both"/>
        <w:rPr>
          <w:sz w:val="20"/>
          <w:szCs w:val="20"/>
          <w:lang w:eastAsia="fr-FR"/>
        </w:rPr>
      </w:pPr>
      <w:r w:rsidRPr="00FF069C">
        <w:rPr>
          <w:sz w:val="20"/>
          <w:szCs w:val="20"/>
          <w:lang w:eastAsia="fr-FR"/>
        </w:rPr>
        <w:t>Le Titulaire s'engage à collaborer loyalement avec le successeur. Il s'engage également à inclure une clause de réversibilité aux sous-traitants auxquels il délèguerait une partie des prestations.</w:t>
      </w:r>
    </w:p>
    <w:p w14:paraId="1511EFA7" w14:textId="36F80C5D" w:rsidR="00D72C23" w:rsidRPr="00C96534" w:rsidRDefault="00FF069C" w:rsidP="00FF069C">
      <w:pPr>
        <w:spacing w:before="120" w:after="120"/>
        <w:jc w:val="both"/>
        <w:rPr>
          <w:sz w:val="20"/>
          <w:szCs w:val="20"/>
          <w:lang w:eastAsia="fr-FR"/>
        </w:rPr>
      </w:pPr>
      <w:r w:rsidRPr="00FF069C">
        <w:rPr>
          <w:sz w:val="20"/>
          <w:szCs w:val="20"/>
          <w:lang w:eastAsia="fr-FR"/>
        </w:rPr>
        <w:t> </w:t>
      </w:r>
    </w:p>
    <w:p w14:paraId="72482506" w14:textId="111869A7" w:rsidR="000A7FA7" w:rsidRPr="00E46A4A" w:rsidRDefault="00407E19" w:rsidP="00E46A4A">
      <w:pPr>
        <w:pStyle w:val="Titre1"/>
        <w:shd w:val="clear" w:color="auto" w:fill="DC8C00"/>
        <w:contextualSpacing/>
        <w:rPr>
          <w:color w:val="FFFFFF" w:themeColor="background1"/>
        </w:rPr>
      </w:pPr>
      <w:bookmarkStart w:id="147" w:name="_Toc222243984"/>
      <w:bookmarkEnd w:id="144"/>
      <w:r w:rsidRPr="00622EC0">
        <w:rPr>
          <w:color w:val="FFFFFF" w:themeColor="background1"/>
        </w:rPr>
        <w:t xml:space="preserve">Résiliation </w:t>
      </w:r>
      <w:r w:rsidR="00E46A4A">
        <w:rPr>
          <w:color w:val="FFFFFF" w:themeColor="background1"/>
        </w:rPr>
        <w:t>et adaptation/suspension de l’accord-cadre</w:t>
      </w:r>
      <w:bookmarkEnd w:id="147"/>
    </w:p>
    <w:p w14:paraId="724A1156" w14:textId="226EEAAC" w:rsidR="004E4C92" w:rsidRPr="00050F55" w:rsidRDefault="004E4C92" w:rsidP="004E4C92">
      <w:pPr>
        <w:pStyle w:val="Titre2"/>
        <w:shd w:val="clear" w:color="auto" w:fill="auto"/>
        <w:contextualSpacing/>
        <w:rPr>
          <w:bCs w:val="0"/>
          <w:color w:val="683766"/>
          <w:sz w:val="22"/>
          <w:szCs w:val="22"/>
        </w:rPr>
      </w:pPr>
      <w:bookmarkStart w:id="148" w:name="_Toc222243985"/>
      <w:r w:rsidRPr="00050F55">
        <w:rPr>
          <w:bCs w:val="0"/>
          <w:color w:val="683766"/>
          <w:sz w:val="22"/>
          <w:szCs w:val="22"/>
        </w:rPr>
        <w:t>Résiliation de l’accord-cadre aux torts du titulaire</w:t>
      </w:r>
      <w:bookmarkEnd w:id="148"/>
    </w:p>
    <w:p w14:paraId="3C2C03FA" w14:textId="16BD95A5"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sidR="009F6E4B">
        <w:rPr>
          <w:sz w:val="20"/>
          <w:szCs w:val="20"/>
        </w:rPr>
        <w:t>de l’article 50 du CCAG-TIC</w:t>
      </w:r>
      <w:r w:rsidRPr="00B473D9">
        <w:rPr>
          <w:sz w:val="20"/>
          <w:szCs w:val="20"/>
        </w:rPr>
        <w:t xml:space="preserve"> dans les conditions suivant</w:t>
      </w:r>
      <w:r>
        <w:rPr>
          <w:sz w:val="20"/>
          <w:szCs w:val="20"/>
        </w:rPr>
        <w:t>e</w:t>
      </w:r>
      <w:r w:rsidRPr="00B473D9">
        <w:rPr>
          <w:sz w:val="20"/>
          <w:szCs w:val="20"/>
        </w:rPr>
        <w:t xml:space="preserve">s : </w:t>
      </w:r>
    </w:p>
    <w:p w14:paraId="7FA14F4E" w14:textId="2C240AC6"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sidR="009F6E4B">
        <w:rPr>
          <w:sz w:val="20"/>
          <w:szCs w:val="20"/>
        </w:rPr>
        <w:t>54</w:t>
      </w:r>
      <w:r w:rsidRPr="00B473D9">
        <w:rPr>
          <w:sz w:val="20"/>
          <w:szCs w:val="20"/>
        </w:rPr>
        <w:t xml:space="preserve"> du </w:t>
      </w:r>
      <w:r>
        <w:rPr>
          <w:sz w:val="20"/>
          <w:szCs w:val="20"/>
        </w:rPr>
        <w:t>CCAG-</w:t>
      </w:r>
      <w:r w:rsidR="009F6E4B">
        <w:rPr>
          <w:sz w:val="20"/>
          <w:szCs w:val="20"/>
        </w:rPr>
        <w:t>TIC</w:t>
      </w:r>
      <w:r w:rsidRPr="00B473D9">
        <w:rPr>
          <w:sz w:val="20"/>
          <w:szCs w:val="20"/>
        </w:rPr>
        <w:t xml:space="preserve">. La décision de résiliation le mentionnera expressément. </w:t>
      </w:r>
      <w:r w:rsidRPr="00B473D9">
        <w:rPr>
          <w:b/>
          <w:bCs/>
          <w:sz w:val="20"/>
          <w:szCs w:val="20"/>
        </w:rPr>
        <w:t xml:space="preserve">Par dérogation à l’article </w:t>
      </w:r>
      <w:r w:rsidR="009F6E4B">
        <w:rPr>
          <w:b/>
          <w:bCs/>
          <w:sz w:val="20"/>
          <w:szCs w:val="20"/>
        </w:rPr>
        <w:t>54</w:t>
      </w:r>
      <w:r w:rsidRPr="00B473D9">
        <w:rPr>
          <w:b/>
          <w:bCs/>
          <w:sz w:val="20"/>
          <w:szCs w:val="20"/>
        </w:rPr>
        <w:t xml:space="preserve"> du </w:t>
      </w:r>
      <w:r>
        <w:rPr>
          <w:b/>
          <w:bCs/>
          <w:sz w:val="20"/>
          <w:szCs w:val="20"/>
        </w:rPr>
        <w:t>CCAG-</w:t>
      </w:r>
      <w:r w:rsidR="009F6E4B">
        <w:rPr>
          <w:b/>
          <w:bCs/>
          <w:sz w:val="20"/>
          <w:szCs w:val="20"/>
        </w:rPr>
        <w:t>TIC</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5AD2270A"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Par dérogation et en complément d</w:t>
      </w:r>
      <w:r w:rsidR="006C2F1E">
        <w:rPr>
          <w:sz w:val="20"/>
          <w:szCs w:val="20"/>
        </w:rPr>
        <w:t>e l’article 50 du CCAG-TIC</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61BD56D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6C2F1E">
        <w:rPr>
          <w:sz w:val="20"/>
          <w:szCs w:val="20"/>
        </w:rPr>
        <w:t>50</w:t>
      </w:r>
      <w:r w:rsidRPr="00B473D9">
        <w:rPr>
          <w:sz w:val="20"/>
          <w:szCs w:val="20"/>
        </w:rPr>
        <w:t xml:space="preserve">.2 du </w:t>
      </w:r>
      <w:r>
        <w:rPr>
          <w:sz w:val="20"/>
          <w:szCs w:val="20"/>
        </w:rPr>
        <w:t>CCAG-</w:t>
      </w:r>
      <w:r w:rsidR="006C2F1E">
        <w:rPr>
          <w:sz w:val="20"/>
          <w:szCs w:val="20"/>
        </w:rPr>
        <w:t>TIC</w:t>
      </w:r>
      <w:r w:rsidRPr="00B473D9">
        <w:rPr>
          <w:sz w:val="20"/>
          <w:szCs w:val="20"/>
        </w:rPr>
        <w:t xml:space="preserve">,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49" w:name="_Toc222243986"/>
      <w:r w:rsidRPr="00050F55">
        <w:rPr>
          <w:bCs w:val="0"/>
          <w:color w:val="683766"/>
          <w:sz w:val="22"/>
          <w:szCs w:val="22"/>
        </w:rPr>
        <w:lastRenderedPageBreak/>
        <w:t>Résiliation de l’accord-cadre pour motif d’intérêt général</w:t>
      </w:r>
      <w:bookmarkEnd w:id="149"/>
    </w:p>
    <w:p w14:paraId="38EDACC5" w14:textId="7F4AE6C0" w:rsidR="00E16B55" w:rsidRPr="00E16B55" w:rsidRDefault="00E16B55" w:rsidP="00E16B55">
      <w:pPr>
        <w:spacing w:before="120" w:after="120"/>
        <w:jc w:val="both"/>
        <w:rPr>
          <w:sz w:val="20"/>
          <w:szCs w:val="20"/>
        </w:rPr>
      </w:pPr>
      <w:bookmarkStart w:id="150" w:name="_Hlk42007900"/>
      <w:bookmarkStart w:id="151" w:name="_Hlk184225101"/>
      <w:r w:rsidRPr="00E16B55">
        <w:rPr>
          <w:sz w:val="20"/>
          <w:szCs w:val="20"/>
        </w:rPr>
        <w:t xml:space="preserve">Dans l’hypothèse d’une résiliation au titre de l’article </w:t>
      </w:r>
      <w:r w:rsidR="006C2F1E">
        <w:rPr>
          <w:sz w:val="20"/>
          <w:szCs w:val="20"/>
        </w:rPr>
        <w:t>51 du CCAG-TIC</w:t>
      </w:r>
      <w:r w:rsidRPr="00E16B55">
        <w:rPr>
          <w:sz w:val="20"/>
          <w:szCs w:val="20"/>
        </w:rPr>
        <w:t xml:space="preserve">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006C2F1E">
        <w:rPr>
          <w:sz w:val="20"/>
          <w:szCs w:val="20"/>
        </w:rPr>
        <w:t>51 du CCAG-TIC</w:t>
      </w:r>
      <w:r w:rsidRPr="00E16B55">
        <w:rPr>
          <w:sz w:val="20"/>
          <w:szCs w:val="20"/>
        </w:rPr>
        <w:t>,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50"/>
    </w:p>
    <w:p w14:paraId="57139102" w14:textId="7C37D958" w:rsidR="00C20ABE" w:rsidRPr="00050F55" w:rsidRDefault="00C20ABE" w:rsidP="00C20ABE">
      <w:pPr>
        <w:pStyle w:val="Titre2"/>
        <w:shd w:val="clear" w:color="auto" w:fill="auto"/>
        <w:contextualSpacing/>
        <w:rPr>
          <w:bCs w:val="0"/>
          <w:color w:val="683766"/>
          <w:sz w:val="22"/>
          <w:szCs w:val="22"/>
        </w:rPr>
      </w:pPr>
      <w:bookmarkStart w:id="152" w:name="_Toc222243987"/>
      <w:bookmarkEnd w:id="151"/>
      <w:r w:rsidRPr="00050F55">
        <w:rPr>
          <w:bCs w:val="0"/>
          <w:color w:val="683766"/>
          <w:sz w:val="22"/>
          <w:szCs w:val="22"/>
        </w:rPr>
        <w:t>Adaptation – suspension de l’accord-cadre</w:t>
      </w:r>
      <w:bookmarkEnd w:id="152"/>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19F6D1A0"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w:t>
      </w:r>
      <w:r w:rsidR="006C2F1E">
        <w:rPr>
          <w:b/>
          <w:bCs/>
          <w:sz w:val="20"/>
          <w:szCs w:val="20"/>
        </w:rPr>
        <w:t>6</w:t>
      </w:r>
      <w:r w:rsidRPr="00B473D9">
        <w:rPr>
          <w:b/>
          <w:bCs/>
          <w:sz w:val="20"/>
          <w:szCs w:val="20"/>
        </w:rPr>
        <w:t>.2 du CCAG</w:t>
      </w:r>
      <w:r w:rsidR="00A23006">
        <w:rPr>
          <w:b/>
          <w:bCs/>
          <w:sz w:val="20"/>
          <w:szCs w:val="20"/>
        </w:rPr>
        <w:t>-</w:t>
      </w:r>
      <w:r w:rsidR="007D53FE">
        <w:rPr>
          <w:b/>
          <w:bCs/>
          <w:sz w:val="20"/>
          <w:szCs w:val="20"/>
        </w:rPr>
        <w:t>TIC</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53" w:name="_Toc222243988"/>
      <w:r w:rsidRPr="00E20E3E">
        <w:rPr>
          <w:color w:val="FFFFFF" w:themeColor="background1"/>
        </w:rPr>
        <w:t>Obligation de respect de la loi « RPR »</w:t>
      </w:r>
      <w:bookmarkEnd w:id="153"/>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d’assurer</w:t>
      </w:r>
      <w:proofErr w:type="gramEnd"/>
      <w:r w:rsidRPr="00E20E3E">
        <w:rPr>
          <w:sz w:val="20"/>
          <w:szCs w:val="20"/>
        </w:rPr>
        <w:t xml:space="preserve"> l’égalité des usagers vis-à-vis du service public, </w:t>
      </w:r>
    </w:p>
    <w:p w14:paraId="515362AC" w14:textId="73632F9D"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respecter les principes de laïcité et de neutralité dans le cadre de l’exécution de ce service. </w:t>
      </w:r>
    </w:p>
    <w:p w14:paraId="134C61D6" w14:textId="40A5D130"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d’informer</w:t>
      </w:r>
      <w:proofErr w:type="gramEnd"/>
      <w:r w:rsidRPr="00E20E3E">
        <w:rPr>
          <w:sz w:val="20"/>
          <w:szCs w:val="20"/>
        </w:rPr>
        <w:t xml:space="preserve"> les personnes susvisées de leurs obligations, </w:t>
      </w:r>
    </w:p>
    <w:p w14:paraId="224BB4A6" w14:textId="42B24E04"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lastRenderedPageBreak/>
        <w:t>de</w:t>
      </w:r>
      <w:proofErr w:type="gramEnd"/>
      <w:r w:rsidRPr="00E20E3E">
        <w:rPr>
          <w:sz w:val="20"/>
          <w:szCs w:val="20"/>
        </w:rPr>
        <w:t xml:space="preserv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54" w:name="_Toc356146862"/>
      <w:bookmarkStart w:id="155" w:name="_Toc222243989"/>
      <w:r w:rsidRPr="00622EC0">
        <w:rPr>
          <w:color w:val="FFFFFF" w:themeColor="background1"/>
        </w:rPr>
        <w:t>Assurances</w:t>
      </w:r>
      <w:bookmarkEnd w:id="154"/>
      <w:bookmarkEnd w:id="155"/>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56" w:name="_Toc222243990"/>
      <w:r w:rsidRPr="00622EC0">
        <w:rPr>
          <w:color w:val="FFFFFF" w:themeColor="background1"/>
        </w:rPr>
        <w:t>Obligation du Titulaire tous les 6 mois</w:t>
      </w:r>
      <w:bookmarkEnd w:id="156"/>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4"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57" w:name="_Toc356146863"/>
      <w:bookmarkStart w:id="158" w:name="_Toc222243991"/>
      <w:r w:rsidRPr="00622EC0">
        <w:rPr>
          <w:color w:val="FFFFFF" w:themeColor="background1"/>
        </w:rPr>
        <w:t>Litiges et différends – Droit applicable</w:t>
      </w:r>
      <w:bookmarkEnd w:id="157"/>
      <w:bookmarkEnd w:id="158"/>
    </w:p>
    <w:p w14:paraId="6FA3F346" w14:textId="7721C996" w:rsidR="00E1147D" w:rsidRPr="00B473D9" w:rsidRDefault="00C20ABE" w:rsidP="00C20ABE">
      <w:pPr>
        <w:spacing w:before="120" w:after="120"/>
        <w:jc w:val="both"/>
        <w:rPr>
          <w:sz w:val="20"/>
          <w:szCs w:val="20"/>
        </w:rPr>
      </w:pPr>
      <w:r w:rsidRPr="00B473D9">
        <w:rPr>
          <w:sz w:val="20"/>
          <w:szCs w:val="20"/>
        </w:rPr>
        <w:t xml:space="preserve">Il sera fait application du chapitre </w:t>
      </w:r>
      <w:r w:rsidR="006C2F1E">
        <w:rPr>
          <w:sz w:val="20"/>
          <w:szCs w:val="20"/>
        </w:rPr>
        <w:t>9</w:t>
      </w:r>
      <w:r w:rsidRPr="00B473D9">
        <w:rPr>
          <w:sz w:val="20"/>
          <w:szCs w:val="20"/>
        </w:rPr>
        <w:t xml:space="preserve"> du CCAG-</w:t>
      </w:r>
      <w:r w:rsidR="006C2F1E">
        <w:rPr>
          <w:sz w:val="20"/>
          <w:szCs w:val="20"/>
        </w:rPr>
        <w:t>TIC.</w:t>
      </w:r>
    </w:p>
    <w:p w14:paraId="6EA9E92E" w14:textId="37758C67" w:rsidR="00E1147D" w:rsidRPr="00B473D9" w:rsidRDefault="00E1147D" w:rsidP="00C20ABE">
      <w:pPr>
        <w:jc w:val="both"/>
        <w:rPr>
          <w:sz w:val="20"/>
          <w:szCs w:val="20"/>
        </w:rPr>
      </w:pPr>
      <w:r w:rsidRPr="00B473D9">
        <w:rPr>
          <w:sz w:val="20"/>
          <w:szCs w:val="20"/>
        </w:rPr>
        <w:lastRenderedPageBreak/>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59" w:name="_Toc356146864"/>
      <w:bookmarkStart w:id="160" w:name="_Toc222243992"/>
      <w:r w:rsidRPr="00622EC0">
        <w:rPr>
          <w:color w:val="FFFFFF" w:themeColor="background1"/>
        </w:rPr>
        <w:t>Dérogation aux documents généraux</w:t>
      </w:r>
      <w:bookmarkEnd w:id="159"/>
      <w:bookmarkEnd w:id="160"/>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0A368B" w:rsidRPr="00FC3402" w14:paraId="0A8FBC7F" w14:textId="77777777" w:rsidTr="002A465B">
        <w:trPr>
          <w:trHeight w:val="598"/>
          <w:jc w:val="center"/>
        </w:trPr>
        <w:tc>
          <w:tcPr>
            <w:tcW w:w="2830" w:type="dxa"/>
            <w:vAlign w:val="center"/>
          </w:tcPr>
          <w:p w14:paraId="1F0757C9" w14:textId="77777777" w:rsidR="000A368B" w:rsidRPr="00FC3402" w:rsidRDefault="000A368B" w:rsidP="002A465B">
            <w:pPr>
              <w:spacing w:after="200"/>
              <w:contextualSpacing/>
              <w:jc w:val="center"/>
              <w:rPr>
                <w:rFonts w:cs="Arial"/>
                <w:b/>
                <w:sz w:val="20"/>
                <w:szCs w:val="20"/>
              </w:rPr>
            </w:pPr>
            <w:bookmarkStart w:id="161" w:name="_Hlk171011149"/>
            <w:r w:rsidRPr="00FC3402">
              <w:rPr>
                <w:rFonts w:cs="Arial"/>
                <w:b/>
                <w:sz w:val="20"/>
                <w:szCs w:val="20"/>
              </w:rPr>
              <w:t>Articles du CCAP</w:t>
            </w:r>
          </w:p>
        </w:tc>
        <w:tc>
          <w:tcPr>
            <w:tcW w:w="6124" w:type="dxa"/>
            <w:vAlign w:val="center"/>
          </w:tcPr>
          <w:p w14:paraId="77BF8CF6" w14:textId="77777777" w:rsidR="000A368B" w:rsidRPr="00FC3402" w:rsidRDefault="000A368B" w:rsidP="002A465B">
            <w:pPr>
              <w:spacing w:after="200"/>
              <w:contextualSpacing/>
              <w:jc w:val="center"/>
              <w:rPr>
                <w:rFonts w:cs="Arial"/>
                <w:b/>
                <w:sz w:val="20"/>
                <w:szCs w:val="20"/>
              </w:rPr>
            </w:pPr>
            <w:r w:rsidRPr="00FC3402">
              <w:rPr>
                <w:rFonts w:cs="Arial"/>
                <w:b/>
                <w:sz w:val="20"/>
                <w:szCs w:val="20"/>
              </w:rPr>
              <w:t>Articles du CCAG</w:t>
            </w:r>
            <w:r>
              <w:rPr>
                <w:rFonts w:cs="Arial"/>
                <w:b/>
                <w:sz w:val="20"/>
                <w:szCs w:val="20"/>
              </w:rPr>
              <w:t>-TIC</w:t>
            </w:r>
            <w:r w:rsidRPr="00FC3402">
              <w:rPr>
                <w:rFonts w:cs="Arial"/>
                <w:b/>
                <w:sz w:val="20"/>
                <w:szCs w:val="20"/>
              </w:rPr>
              <w:t xml:space="preserve"> auxquels il est dérogé par les articles du CCAP</w:t>
            </w:r>
          </w:p>
        </w:tc>
      </w:tr>
      <w:tr w:rsidR="000A368B" w:rsidRPr="00FC3402" w14:paraId="7C78F723" w14:textId="77777777" w:rsidTr="002A465B">
        <w:trPr>
          <w:trHeight w:val="598"/>
          <w:jc w:val="center"/>
        </w:trPr>
        <w:tc>
          <w:tcPr>
            <w:tcW w:w="2830" w:type="dxa"/>
            <w:vAlign w:val="center"/>
          </w:tcPr>
          <w:p w14:paraId="473F02D1" w14:textId="77777777" w:rsidR="000A368B" w:rsidRPr="00FC3402" w:rsidRDefault="000A368B" w:rsidP="002A465B">
            <w:pPr>
              <w:contextualSpacing/>
              <w:jc w:val="center"/>
              <w:rPr>
                <w:rFonts w:cs="Arial"/>
                <w:bCs/>
                <w:sz w:val="20"/>
                <w:szCs w:val="20"/>
              </w:rPr>
            </w:pPr>
            <w:r w:rsidRPr="00FC3402">
              <w:rPr>
                <w:rFonts w:cs="Arial"/>
                <w:bCs/>
                <w:sz w:val="20"/>
                <w:szCs w:val="20"/>
              </w:rPr>
              <w:t>2.7</w:t>
            </w:r>
          </w:p>
        </w:tc>
        <w:tc>
          <w:tcPr>
            <w:tcW w:w="6124" w:type="dxa"/>
            <w:vAlign w:val="center"/>
          </w:tcPr>
          <w:p w14:paraId="575BEBFC" w14:textId="77777777" w:rsidR="000A368B" w:rsidRPr="00FC3402" w:rsidRDefault="000A368B" w:rsidP="002A465B">
            <w:pPr>
              <w:contextualSpacing/>
              <w:jc w:val="center"/>
              <w:rPr>
                <w:rFonts w:cs="Arial"/>
                <w:bCs/>
                <w:sz w:val="20"/>
                <w:szCs w:val="20"/>
              </w:rPr>
            </w:pPr>
            <w:r w:rsidRPr="00FC3402">
              <w:rPr>
                <w:rFonts w:cs="Arial"/>
                <w:bCs/>
                <w:sz w:val="20"/>
                <w:szCs w:val="20"/>
              </w:rPr>
              <w:t>3.4.3</w:t>
            </w:r>
          </w:p>
        </w:tc>
      </w:tr>
      <w:tr w:rsidR="000A368B" w:rsidRPr="00FC3402" w14:paraId="0C729358" w14:textId="77777777" w:rsidTr="002A465B">
        <w:trPr>
          <w:trHeight w:val="598"/>
          <w:jc w:val="center"/>
        </w:trPr>
        <w:tc>
          <w:tcPr>
            <w:tcW w:w="2830" w:type="dxa"/>
            <w:vAlign w:val="center"/>
          </w:tcPr>
          <w:p w14:paraId="47ADFCB0" w14:textId="77777777" w:rsidR="000A368B" w:rsidRPr="00FC3402" w:rsidRDefault="000A368B" w:rsidP="002A465B">
            <w:pPr>
              <w:contextualSpacing/>
              <w:jc w:val="center"/>
              <w:rPr>
                <w:rFonts w:cs="Arial"/>
                <w:bCs/>
                <w:sz w:val="20"/>
                <w:szCs w:val="20"/>
              </w:rPr>
            </w:pPr>
            <w:r w:rsidRPr="00FC3402">
              <w:rPr>
                <w:rFonts w:cs="Arial"/>
                <w:bCs/>
                <w:sz w:val="20"/>
                <w:szCs w:val="20"/>
              </w:rPr>
              <w:t>2.8</w:t>
            </w:r>
          </w:p>
        </w:tc>
        <w:tc>
          <w:tcPr>
            <w:tcW w:w="6124" w:type="dxa"/>
            <w:vAlign w:val="center"/>
          </w:tcPr>
          <w:p w14:paraId="78C3D941" w14:textId="77777777" w:rsidR="000A368B" w:rsidRPr="00FC3402" w:rsidRDefault="000A368B" w:rsidP="002A465B">
            <w:pPr>
              <w:contextualSpacing/>
              <w:jc w:val="center"/>
              <w:rPr>
                <w:rFonts w:cs="Arial"/>
                <w:bCs/>
                <w:sz w:val="20"/>
                <w:szCs w:val="20"/>
              </w:rPr>
            </w:pPr>
            <w:r w:rsidRPr="00FC3402">
              <w:rPr>
                <w:rFonts w:cs="Arial"/>
                <w:bCs/>
                <w:sz w:val="20"/>
                <w:szCs w:val="20"/>
              </w:rPr>
              <w:t>3.8.2</w:t>
            </w:r>
          </w:p>
        </w:tc>
      </w:tr>
      <w:tr w:rsidR="000A368B" w:rsidRPr="00FC3402" w14:paraId="590366E2" w14:textId="77777777" w:rsidTr="002A465B">
        <w:trPr>
          <w:trHeight w:val="598"/>
          <w:jc w:val="center"/>
        </w:trPr>
        <w:tc>
          <w:tcPr>
            <w:tcW w:w="2830" w:type="dxa"/>
            <w:vAlign w:val="center"/>
          </w:tcPr>
          <w:p w14:paraId="228B4CD8" w14:textId="77777777" w:rsidR="000A368B" w:rsidRPr="00FC3402" w:rsidRDefault="000A368B" w:rsidP="002A465B">
            <w:pPr>
              <w:contextualSpacing/>
              <w:jc w:val="center"/>
              <w:rPr>
                <w:rFonts w:cs="Arial"/>
                <w:bCs/>
                <w:sz w:val="20"/>
                <w:szCs w:val="20"/>
              </w:rPr>
            </w:pPr>
            <w:r w:rsidRPr="00FC3402">
              <w:rPr>
                <w:rFonts w:cs="Arial"/>
                <w:bCs/>
                <w:sz w:val="20"/>
                <w:szCs w:val="20"/>
              </w:rPr>
              <w:t>7.2</w:t>
            </w:r>
          </w:p>
        </w:tc>
        <w:tc>
          <w:tcPr>
            <w:tcW w:w="6124" w:type="dxa"/>
            <w:vAlign w:val="center"/>
          </w:tcPr>
          <w:p w14:paraId="550FC4F2" w14:textId="77777777" w:rsidR="000A368B" w:rsidRPr="00FC3402" w:rsidRDefault="000A368B" w:rsidP="002A465B">
            <w:pPr>
              <w:contextualSpacing/>
              <w:jc w:val="center"/>
              <w:rPr>
                <w:rFonts w:cs="Arial"/>
                <w:bCs/>
                <w:sz w:val="20"/>
                <w:szCs w:val="20"/>
              </w:rPr>
            </w:pPr>
            <w:r w:rsidRPr="00FC3402">
              <w:rPr>
                <w:rFonts w:cs="Arial"/>
                <w:bCs/>
                <w:sz w:val="20"/>
                <w:szCs w:val="20"/>
              </w:rPr>
              <w:t>3.5</w:t>
            </w:r>
          </w:p>
        </w:tc>
      </w:tr>
      <w:tr w:rsidR="000A368B" w:rsidRPr="00FC3402" w14:paraId="3B3FF5A0" w14:textId="77777777" w:rsidTr="002A465B">
        <w:trPr>
          <w:trHeight w:val="598"/>
          <w:jc w:val="center"/>
        </w:trPr>
        <w:tc>
          <w:tcPr>
            <w:tcW w:w="2830" w:type="dxa"/>
            <w:vAlign w:val="center"/>
          </w:tcPr>
          <w:p w14:paraId="728EC650" w14:textId="77777777" w:rsidR="000A368B" w:rsidRDefault="000A368B" w:rsidP="002A465B">
            <w:pPr>
              <w:contextualSpacing/>
              <w:jc w:val="center"/>
              <w:rPr>
                <w:rFonts w:cs="Arial"/>
                <w:bCs/>
                <w:sz w:val="20"/>
                <w:szCs w:val="20"/>
              </w:rPr>
            </w:pPr>
            <w:r>
              <w:rPr>
                <w:rFonts w:cs="Arial"/>
                <w:bCs/>
                <w:sz w:val="20"/>
                <w:szCs w:val="20"/>
              </w:rPr>
              <w:t>9.6.1</w:t>
            </w:r>
          </w:p>
        </w:tc>
        <w:tc>
          <w:tcPr>
            <w:tcW w:w="6124" w:type="dxa"/>
            <w:vAlign w:val="center"/>
          </w:tcPr>
          <w:p w14:paraId="6A5ADF93" w14:textId="77777777" w:rsidR="000A368B" w:rsidRDefault="000A368B" w:rsidP="002A465B">
            <w:pPr>
              <w:contextualSpacing/>
              <w:jc w:val="center"/>
              <w:rPr>
                <w:rFonts w:cs="Arial"/>
                <w:bCs/>
                <w:sz w:val="20"/>
                <w:szCs w:val="20"/>
              </w:rPr>
            </w:pPr>
            <w:r>
              <w:rPr>
                <w:rFonts w:cs="Arial"/>
                <w:bCs/>
                <w:sz w:val="20"/>
                <w:szCs w:val="20"/>
              </w:rPr>
              <w:t>12.1</w:t>
            </w:r>
          </w:p>
        </w:tc>
      </w:tr>
      <w:tr w:rsidR="000A368B" w:rsidRPr="00FC3402" w14:paraId="2CD5C4EC" w14:textId="77777777" w:rsidTr="002A465B">
        <w:trPr>
          <w:trHeight w:val="598"/>
          <w:jc w:val="center"/>
        </w:trPr>
        <w:tc>
          <w:tcPr>
            <w:tcW w:w="2830" w:type="dxa"/>
            <w:vAlign w:val="center"/>
          </w:tcPr>
          <w:p w14:paraId="1FBED232" w14:textId="77777777" w:rsidR="000A368B" w:rsidRPr="00FC3402" w:rsidRDefault="000A368B" w:rsidP="002A465B">
            <w:pPr>
              <w:contextualSpacing/>
              <w:jc w:val="center"/>
              <w:rPr>
                <w:rFonts w:cs="Arial"/>
                <w:bCs/>
                <w:sz w:val="20"/>
                <w:szCs w:val="20"/>
              </w:rPr>
            </w:pPr>
            <w:r w:rsidRPr="00FC3402">
              <w:rPr>
                <w:rFonts w:cs="Arial"/>
                <w:bCs/>
                <w:sz w:val="20"/>
                <w:szCs w:val="20"/>
              </w:rPr>
              <w:t>13</w:t>
            </w:r>
          </w:p>
        </w:tc>
        <w:tc>
          <w:tcPr>
            <w:tcW w:w="6124" w:type="dxa"/>
            <w:vAlign w:val="center"/>
          </w:tcPr>
          <w:p w14:paraId="76927E2F" w14:textId="77777777" w:rsidR="000A368B" w:rsidRPr="00FC3402" w:rsidRDefault="000A368B" w:rsidP="002A465B">
            <w:pPr>
              <w:contextualSpacing/>
              <w:jc w:val="center"/>
              <w:rPr>
                <w:rFonts w:cs="Arial"/>
                <w:bCs/>
                <w:sz w:val="20"/>
                <w:szCs w:val="20"/>
              </w:rPr>
            </w:pPr>
            <w:r w:rsidRPr="00FC3402">
              <w:rPr>
                <w:rFonts w:cs="Arial"/>
                <w:bCs/>
                <w:sz w:val="20"/>
                <w:szCs w:val="20"/>
              </w:rPr>
              <w:t>14.1</w:t>
            </w:r>
          </w:p>
          <w:p w14:paraId="6CFFCFDA" w14:textId="77777777" w:rsidR="000A368B" w:rsidRPr="00FC3402" w:rsidRDefault="000A368B" w:rsidP="002A465B">
            <w:pPr>
              <w:contextualSpacing/>
              <w:jc w:val="center"/>
              <w:rPr>
                <w:rFonts w:cs="Arial"/>
                <w:bCs/>
                <w:sz w:val="20"/>
                <w:szCs w:val="20"/>
              </w:rPr>
            </w:pPr>
            <w:r w:rsidRPr="00FC3402">
              <w:rPr>
                <w:rFonts w:cs="Arial"/>
                <w:bCs/>
                <w:sz w:val="20"/>
                <w:szCs w:val="20"/>
              </w:rPr>
              <w:t>14.1.2</w:t>
            </w:r>
          </w:p>
        </w:tc>
      </w:tr>
      <w:tr w:rsidR="000A368B" w:rsidRPr="00FC3402" w14:paraId="6F18288A" w14:textId="77777777" w:rsidTr="002A465B">
        <w:trPr>
          <w:trHeight w:val="598"/>
          <w:jc w:val="center"/>
        </w:trPr>
        <w:tc>
          <w:tcPr>
            <w:tcW w:w="2830" w:type="dxa"/>
            <w:vAlign w:val="center"/>
          </w:tcPr>
          <w:p w14:paraId="1FF06CC6" w14:textId="77777777" w:rsidR="000A368B" w:rsidRDefault="000A368B" w:rsidP="002A465B">
            <w:pPr>
              <w:contextualSpacing/>
              <w:jc w:val="center"/>
              <w:rPr>
                <w:rFonts w:cs="Arial"/>
                <w:bCs/>
                <w:sz w:val="20"/>
                <w:szCs w:val="20"/>
              </w:rPr>
            </w:pPr>
            <w:r>
              <w:rPr>
                <w:rFonts w:cs="Arial"/>
                <w:bCs/>
                <w:sz w:val="20"/>
                <w:szCs w:val="20"/>
              </w:rPr>
              <w:t>14.4</w:t>
            </w:r>
          </w:p>
        </w:tc>
        <w:tc>
          <w:tcPr>
            <w:tcW w:w="6124" w:type="dxa"/>
            <w:vAlign w:val="center"/>
          </w:tcPr>
          <w:p w14:paraId="6589B601" w14:textId="77777777" w:rsidR="000A368B" w:rsidRDefault="000A368B" w:rsidP="002A465B">
            <w:pPr>
              <w:contextualSpacing/>
              <w:jc w:val="center"/>
              <w:rPr>
                <w:rFonts w:cs="Arial"/>
                <w:bCs/>
                <w:sz w:val="20"/>
                <w:szCs w:val="20"/>
              </w:rPr>
            </w:pPr>
            <w:r>
              <w:rPr>
                <w:rFonts w:cs="Arial"/>
                <w:bCs/>
                <w:sz w:val="20"/>
                <w:szCs w:val="20"/>
              </w:rPr>
              <w:t>34.1</w:t>
            </w:r>
          </w:p>
        </w:tc>
      </w:tr>
      <w:tr w:rsidR="000A368B" w:rsidRPr="00FC3402" w14:paraId="5A5FFC12" w14:textId="77777777" w:rsidTr="002A465B">
        <w:trPr>
          <w:trHeight w:val="598"/>
          <w:jc w:val="center"/>
        </w:trPr>
        <w:tc>
          <w:tcPr>
            <w:tcW w:w="2830" w:type="dxa"/>
            <w:vAlign w:val="center"/>
          </w:tcPr>
          <w:p w14:paraId="0CD830B8" w14:textId="77777777" w:rsidR="000A368B" w:rsidRPr="00FC3402" w:rsidRDefault="000A368B" w:rsidP="002A465B">
            <w:pPr>
              <w:contextualSpacing/>
              <w:jc w:val="center"/>
              <w:rPr>
                <w:rFonts w:cs="Arial"/>
                <w:bCs/>
                <w:sz w:val="20"/>
                <w:szCs w:val="20"/>
              </w:rPr>
            </w:pPr>
            <w:r>
              <w:rPr>
                <w:rFonts w:cs="Arial"/>
                <w:bCs/>
                <w:sz w:val="20"/>
                <w:szCs w:val="20"/>
              </w:rPr>
              <w:t>14.5</w:t>
            </w:r>
          </w:p>
        </w:tc>
        <w:tc>
          <w:tcPr>
            <w:tcW w:w="6124" w:type="dxa"/>
            <w:vAlign w:val="center"/>
          </w:tcPr>
          <w:p w14:paraId="5CD1BC9D" w14:textId="77777777" w:rsidR="000A368B" w:rsidRDefault="000A368B" w:rsidP="002A465B">
            <w:pPr>
              <w:contextualSpacing/>
              <w:jc w:val="center"/>
              <w:rPr>
                <w:rFonts w:cs="Arial"/>
                <w:bCs/>
                <w:sz w:val="20"/>
                <w:szCs w:val="20"/>
              </w:rPr>
            </w:pPr>
            <w:r>
              <w:rPr>
                <w:rFonts w:cs="Arial"/>
                <w:bCs/>
                <w:sz w:val="20"/>
                <w:szCs w:val="20"/>
              </w:rPr>
              <w:t>34.2.1</w:t>
            </w:r>
          </w:p>
          <w:p w14:paraId="753DAE98" w14:textId="77777777" w:rsidR="000A368B" w:rsidRDefault="000A368B" w:rsidP="002A465B">
            <w:pPr>
              <w:contextualSpacing/>
              <w:jc w:val="center"/>
              <w:rPr>
                <w:rFonts w:cs="Arial"/>
                <w:bCs/>
                <w:sz w:val="20"/>
                <w:szCs w:val="20"/>
              </w:rPr>
            </w:pPr>
            <w:r>
              <w:rPr>
                <w:rFonts w:cs="Arial"/>
                <w:bCs/>
                <w:sz w:val="20"/>
                <w:szCs w:val="20"/>
              </w:rPr>
              <w:t>34.3</w:t>
            </w:r>
          </w:p>
        </w:tc>
      </w:tr>
      <w:tr w:rsidR="000A368B" w:rsidRPr="00FC3402" w14:paraId="1725D36F" w14:textId="77777777" w:rsidTr="002A465B">
        <w:trPr>
          <w:trHeight w:val="598"/>
          <w:jc w:val="center"/>
        </w:trPr>
        <w:tc>
          <w:tcPr>
            <w:tcW w:w="2830" w:type="dxa"/>
            <w:vAlign w:val="center"/>
          </w:tcPr>
          <w:p w14:paraId="2F562C4F" w14:textId="77777777" w:rsidR="000A368B" w:rsidRPr="00FC3402" w:rsidRDefault="000A368B" w:rsidP="002A465B">
            <w:pPr>
              <w:contextualSpacing/>
              <w:jc w:val="center"/>
              <w:rPr>
                <w:rFonts w:cs="Arial"/>
                <w:bCs/>
                <w:sz w:val="20"/>
                <w:szCs w:val="20"/>
              </w:rPr>
            </w:pPr>
            <w:r>
              <w:rPr>
                <w:rFonts w:cs="Arial"/>
                <w:bCs/>
                <w:sz w:val="20"/>
                <w:szCs w:val="20"/>
              </w:rPr>
              <w:t>18</w:t>
            </w:r>
            <w:r w:rsidRPr="00FC3402">
              <w:rPr>
                <w:rFonts w:cs="Arial"/>
                <w:bCs/>
                <w:sz w:val="20"/>
                <w:szCs w:val="20"/>
              </w:rPr>
              <w:t>.1</w:t>
            </w:r>
          </w:p>
        </w:tc>
        <w:tc>
          <w:tcPr>
            <w:tcW w:w="6124" w:type="dxa"/>
            <w:vAlign w:val="center"/>
          </w:tcPr>
          <w:p w14:paraId="17EEB083" w14:textId="77777777" w:rsidR="000A368B" w:rsidRDefault="000A368B" w:rsidP="002A465B">
            <w:pPr>
              <w:contextualSpacing/>
              <w:jc w:val="center"/>
              <w:rPr>
                <w:rFonts w:cs="Arial"/>
                <w:bCs/>
                <w:sz w:val="20"/>
                <w:szCs w:val="20"/>
              </w:rPr>
            </w:pPr>
            <w:r>
              <w:rPr>
                <w:rFonts w:cs="Arial"/>
                <w:bCs/>
                <w:sz w:val="20"/>
                <w:szCs w:val="20"/>
              </w:rPr>
              <w:t>54</w:t>
            </w:r>
          </w:p>
          <w:p w14:paraId="3AF654F3" w14:textId="77777777" w:rsidR="000A368B" w:rsidRPr="00FC3402" w:rsidRDefault="000A368B" w:rsidP="002A465B">
            <w:pPr>
              <w:contextualSpacing/>
              <w:jc w:val="center"/>
              <w:rPr>
                <w:rFonts w:cs="Arial"/>
                <w:bCs/>
                <w:sz w:val="20"/>
                <w:szCs w:val="20"/>
              </w:rPr>
            </w:pPr>
            <w:r>
              <w:rPr>
                <w:rFonts w:cs="Arial"/>
                <w:bCs/>
                <w:sz w:val="20"/>
                <w:szCs w:val="20"/>
              </w:rPr>
              <w:t>50</w:t>
            </w:r>
          </w:p>
        </w:tc>
      </w:tr>
      <w:tr w:rsidR="000A368B" w:rsidRPr="00FC3402" w14:paraId="18FEE2CE" w14:textId="77777777" w:rsidTr="002A465B">
        <w:trPr>
          <w:trHeight w:val="598"/>
          <w:jc w:val="center"/>
        </w:trPr>
        <w:tc>
          <w:tcPr>
            <w:tcW w:w="2830" w:type="dxa"/>
            <w:vAlign w:val="center"/>
          </w:tcPr>
          <w:p w14:paraId="212D050B" w14:textId="77777777" w:rsidR="000A368B" w:rsidRPr="00FC3402" w:rsidRDefault="000A368B" w:rsidP="002A465B">
            <w:pPr>
              <w:contextualSpacing/>
              <w:jc w:val="center"/>
              <w:rPr>
                <w:rFonts w:cs="Arial"/>
                <w:bCs/>
                <w:sz w:val="20"/>
                <w:szCs w:val="20"/>
              </w:rPr>
            </w:pPr>
            <w:r w:rsidRPr="00FC3402">
              <w:rPr>
                <w:rFonts w:cs="Arial"/>
                <w:bCs/>
                <w:sz w:val="20"/>
                <w:szCs w:val="20"/>
              </w:rPr>
              <w:t>16.3</w:t>
            </w:r>
          </w:p>
        </w:tc>
        <w:tc>
          <w:tcPr>
            <w:tcW w:w="6124" w:type="dxa"/>
            <w:vAlign w:val="center"/>
          </w:tcPr>
          <w:p w14:paraId="572747EB" w14:textId="77777777" w:rsidR="000A368B" w:rsidRPr="00FC3402" w:rsidRDefault="000A368B" w:rsidP="002A465B">
            <w:pPr>
              <w:contextualSpacing/>
              <w:jc w:val="center"/>
              <w:rPr>
                <w:rFonts w:cs="Arial"/>
                <w:bCs/>
                <w:sz w:val="20"/>
                <w:szCs w:val="20"/>
              </w:rPr>
            </w:pPr>
            <w:r w:rsidRPr="00FC3402">
              <w:rPr>
                <w:rFonts w:cs="Arial"/>
                <w:bCs/>
                <w:sz w:val="20"/>
                <w:szCs w:val="20"/>
              </w:rPr>
              <w:t>2</w:t>
            </w:r>
            <w:r>
              <w:rPr>
                <w:rFonts w:cs="Arial"/>
                <w:bCs/>
                <w:sz w:val="20"/>
                <w:szCs w:val="20"/>
              </w:rPr>
              <w:t>6.2</w:t>
            </w:r>
          </w:p>
        </w:tc>
      </w:tr>
      <w:bookmarkEnd w:id="161"/>
    </w:tbl>
    <w:p w14:paraId="3BB79E9C" w14:textId="74072FA8" w:rsidR="005E042E" w:rsidRDefault="005E042E"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1DE2AAFE" w:rsidR="005F5C92" w:rsidRPr="005F5C92" w:rsidRDefault="005F5C92" w:rsidP="005F5C92">
      <w:pPr>
        <w:pStyle w:val="Titre1"/>
        <w:shd w:val="clear" w:color="auto" w:fill="DC8C00"/>
        <w:contextualSpacing/>
        <w:rPr>
          <w:color w:val="FFFFFF" w:themeColor="background1"/>
        </w:rPr>
      </w:pPr>
      <w:bookmarkStart w:id="162" w:name="_Toc89956401"/>
      <w:bookmarkStart w:id="163" w:name="_Toc222243993"/>
      <w:r w:rsidRPr="005F5C92">
        <w:rPr>
          <w:color w:val="FFFFFF" w:themeColor="background1"/>
        </w:rPr>
        <w:t>A</w:t>
      </w:r>
      <w:r w:rsidR="00903516" w:rsidRPr="005F5C92">
        <w:rPr>
          <w:color w:val="FFFFFF" w:themeColor="background1"/>
        </w:rPr>
        <w:t>pprobation de l’accord-cadre</w:t>
      </w:r>
      <w:bookmarkEnd w:id="162"/>
      <w:bookmarkEnd w:id="163"/>
    </w:p>
    <w:p w14:paraId="7A612E6A" w14:textId="335819D4" w:rsidR="00E20E3E" w:rsidRPr="005F0357" w:rsidRDefault="005F5C92" w:rsidP="005F0357">
      <w:pPr>
        <w:spacing w:before="120" w:after="120"/>
        <w:jc w:val="both"/>
        <w:rPr>
          <w:b/>
          <w:bCs/>
          <w:sz w:val="20"/>
          <w:szCs w:val="20"/>
        </w:rPr>
      </w:pPr>
      <w:r w:rsidRPr="005F5C92">
        <w:rPr>
          <w:b/>
          <w:bCs/>
          <w:sz w:val="20"/>
          <w:szCs w:val="20"/>
        </w:rPr>
        <w:t>La présente offre est acceptée</w:t>
      </w:r>
      <w:r w:rsidR="004651E0">
        <w:rPr>
          <w:b/>
          <w:bCs/>
          <w:sz w:val="20"/>
          <w:szCs w:val="20"/>
        </w:rPr>
        <w:t>.</w:t>
      </w:r>
    </w:p>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A2E53" w14:textId="77777777" w:rsidR="00617433" w:rsidRDefault="00617433" w:rsidP="00984561">
      <w:pPr>
        <w:spacing w:after="0" w:line="240" w:lineRule="auto"/>
      </w:pPr>
      <w:r>
        <w:separator/>
      </w:r>
    </w:p>
  </w:endnote>
  <w:endnote w:type="continuationSeparator" w:id="0">
    <w:p w14:paraId="0B468F4B" w14:textId="77777777" w:rsidR="00617433" w:rsidRDefault="00617433" w:rsidP="00984561">
      <w:pPr>
        <w:spacing w:after="0" w:line="240" w:lineRule="auto"/>
      </w:pPr>
      <w:r>
        <w:continuationSeparator/>
      </w:r>
    </w:p>
  </w:endnote>
  <w:endnote w:type="continuationNotice" w:id="1">
    <w:p w14:paraId="26CC9B57" w14:textId="77777777" w:rsidR="00617433" w:rsidRDefault="006174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7E8A4916" w:rsidR="00C5169D" w:rsidRPr="002336AB"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0A368B">
                            <w:rPr>
                              <w:color w:val="DC8C00"/>
                              <w:sz w:val="20"/>
                              <w:szCs w:val="20"/>
                            </w:rPr>
                            <w:t xml:space="preserve"> LOT1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7"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7E8A4916" w:rsidR="00C5169D" w:rsidRPr="002336AB"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0A368B">
                      <w:rPr>
                        <w:color w:val="DC8C00"/>
                        <w:sz w:val="20"/>
                        <w:szCs w:val="20"/>
                      </w:rPr>
                      <w:t xml:space="preserve"> LOT1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8"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AC4BE" w14:textId="77777777" w:rsidR="00617433" w:rsidRDefault="00617433" w:rsidP="00984561">
      <w:pPr>
        <w:spacing w:after="0" w:line="240" w:lineRule="auto"/>
      </w:pPr>
      <w:r>
        <w:separator/>
      </w:r>
    </w:p>
  </w:footnote>
  <w:footnote w:type="continuationSeparator" w:id="0">
    <w:p w14:paraId="27269BC7" w14:textId="77777777" w:rsidR="00617433" w:rsidRDefault="00617433" w:rsidP="00984561">
      <w:pPr>
        <w:spacing w:after="0" w:line="240" w:lineRule="auto"/>
      </w:pPr>
      <w:r>
        <w:continuationSeparator/>
      </w:r>
    </w:p>
  </w:footnote>
  <w:footnote w:type="continuationNotice" w:id="1">
    <w:p w14:paraId="2E07C4FF" w14:textId="77777777" w:rsidR="00617433" w:rsidRDefault="006174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31A27"/>
    <w:multiLevelType w:val="hybridMultilevel"/>
    <w:tmpl w:val="57DE534C"/>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EB027338">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121ED74D"/>
    <w:multiLevelType w:val="hybridMultilevel"/>
    <w:tmpl w:val="7DDCBFD0"/>
    <w:lvl w:ilvl="0" w:tplc="7E2CDE76">
      <w:start w:val="1"/>
      <w:numFmt w:val="bullet"/>
      <w:lvlText w:val="-"/>
      <w:lvlJc w:val="left"/>
      <w:pPr>
        <w:ind w:left="720" w:hanging="360"/>
      </w:pPr>
      <w:rPr>
        <w:rFonts w:ascii="Times New Roman" w:hAnsi="Times New Roman" w:cs="Times New Roman" w:hint="default"/>
      </w:rPr>
    </w:lvl>
    <w:lvl w:ilvl="1" w:tplc="07E09B8C">
      <w:start w:val="1"/>
      <w:numFmt w:val="bullet"/>
      <w:lvlText w:val="o"/>
      <w:lvlJc w:val="left"/>
      <w:pPr>
        <w:ind w:left="1440" w:hanging="360"/>
      </w:pPr>
      <w:rPr>
        <w:rFonts w:ascii="Times New Roman" w:hAnsi="Times New Roman" w:cs="Times New Roman" w:hint="default"/>
      </w:rPr>
    </w:lvl>
    <w:lvl w:ilvl="2" w:tplc="F382474A">
      <w:start w:val="1"/>
      <w:numFmt w:val="bullet"/>
      <w:lvlText w:val=""/>
      <w:lvlJc w:val="left"/>
      <w:pPr>
        <w:ind w:left="2160" w:hanging="360"/>
      </w:pPr>
      <w:rPr>
        <w:rFonts w:ascii="Wingdings" w:hAnsi="Wingdings" w:hint="default"/>
      </w:rPr>
    </w:lvl>
    <w:lvl w:ilvl="3" w:tplc="772C494E">
      <w:start w:val="1"/>
      <w:numFmt w:val="bullet"/>
      <w:lvlText w:val=""/>
      <w:lvlJc w:val="left"/>
      <w:pPr>
        <w:ind w:left="2880" w:hanging="360"/>
      </w:pPr>
      <w:rPr>
        <w:rFonts w:ascii="Symbol" w:hAnsi="Symbol" w:hint="default"/>
      </w:rPr>
    </w:lvl>
    <w:lvl w:ilvl="4" w:tplc="C2FCC706">
      <w:start w:val="1"/>
      <w:numFmt w:val="bullet"/>
      <w:lvlText w:val="o"/>
      <w:lvlJc w:val="left"/>
      <w:pPr>
        <w:ind w:left="3600" w:hanging="360"/>
      </w:pPr>
      <w:rPr>
        <w:rFonts w:ascii="Courier New" w:hAnsi="Courier New" w:cs="Times New Roman" w:hint="default"/>
      </w:rPr>
    </w:lvl>
    <w:lvl w:ilvl="5" w:tplc="D91A4558">
      <w:start w:val="1"/>
      <w:numFmt w:val="bullet"/>
      <w:lvlText w:val=""/>
      <w:lvlJc w:val="left"/>
      <w:pPr>
        <w:ind w:left="4320" w:hanging="360"/>
      </w:pPr>
      <w:rPr>
        <w:rFonts w:ascii="Wingdings" w:hAnsi="Wingdings" w:hint="default"/>
      </w:rPr>
    </w:lvl>
    <w:lvl w:ilvl="6" w:tplc="AB3228A0">
      <w:start w:val="1"/>
      <w:numFmt w:val="bullet"/>
      <w:lvlText w:val=""/>
      <w:lvlJc w:val="left"/>
      <w:pPr>
        <w:ind w:left="5040" w:hanging="360"/>
      </w:pPr>
      <w:rPr>
        <w:rFonts w:ascii="Symbol" w:hAnsi="Symbol" w:hint="default"/>
      </w:rPr>
    </w:lvl>
    <w:lvl w:ilvl="7" w:tplc="D33886EE">
      <w:start w:val="1"/>
      <w:numFmt w:val="bullet"/>
      <w:lvlText w:val="o"/>
      <w:lvlJc w:val="left"/>
      <w:pPr>
        <w:ind w:left="5760" w:hanging="360"/>
      </w:pPr>
      <w:rPr>
        <w:rFonts w:ascii="Courier New" w:hAnsi="Courier New" w:cs="Times New Roman" w:hint="default"/>
      </w:rPr>
    </w:lvl>
    <w:lvl w:ilvl="8" w:tplc="DA30226A">
      <w:start w:val="1"/>
      <w:numFmt w:val="bullet"/>
      <w:lvlText w:val=""/>
      <w:lvlJc w:val="left"/>
      <w:pPr>
        <w:ind w:left="6480" w:hanging="360"/>
      </w:pPr>
      <w:rPr>
        <w:rFonts w:ascii="Wingdings" w:hAnsi="Wingdings" w:hint="default"/>
      </w:rPr>
    </w:lvl>
  </w:abstractNum>
  <w:abstractNum w:abstractNumId="9" w15:restartNumberingAfterBreak="0">
    <w:nsid w:val="1339266A"/>
    <w:multiLevelType w:val="hybridMultilevel"/>
    <w:tmpl w:val="BA607102"/>
    <w:lvl w:ilvl="0" w:tplc="A242435A">
      <w:start w:val="2"/>
      <w:numFmt w:val="decimal"/>
      <w:lvlText w:val="%1."/>
      <w:lvlJc w:val="left"/>
      <w:pPr>
        <w:ind w:left="643" w:hanging="360"/>
      </w:pPr>
    </w:lvl>
    <w:lvl w:ilvl="1" w:tplc="040C0019">
      <w:start w:val="1"/>
      <w:numFmt w:val="lowerLetter"/>
      <w:lvlText w:val="%2."/>
      <w:lvlJc w:val="left"/>
      <w:pPr>
        <w:ind w:left="1363" w:hanging="360"/>
      </w:pPr>
    </w:lvl>
    <w:lvl w:ilvl="2" w:tplc="040C001B">
      <w:start w:val="1"/>
      <w:numFmt w:val="lowerRoman"/>
      <w:lvlText w:val="%3."/>
      <w:lvlJc w:val="right"/>
      <w:pPr>
        <w:ind w:left="2083" w:hanging="180"/>
      </w:pPr>
    </w:lvl>
    <w:lvl w:ilvl="3" w:tplc="040C000F">
      <w:start w:val="1"/>
      <w:numFmt w:val="decimal"/>
      <w:lvlText w:val="%4."/>
      <w:lvlJc w:val="left"/>
      <w:pPr>
        <w:ind w:left="2803" w:hanging="360"/>
      </w:pPr>
    </w:lvl>
    <w:lvl w:ilvl="4" w:tplc="040C0019">
      <w:start w:val="1"/>
      <w:numFmt w:val="lowerLetter"/>
      <w:lvlText w:val="%5."/>
      <w:lvlJc w:val="left"/>
      <w:pPr>
        <w:ind w:left="3523" w:hanging="360"/>
      </w:pPr>
    </w:lvl>
    <w:lvl w:ilvl="5" w:tplc="040C001B">
      <w:start w:val="1"/>
      <w:numFmt w:val="lowerRoman"/>
      <w:lvlText w:val="%6."/>
      <w:lvlJc w:val="right"/>
      <w:pPr>
        <w:ind w:left="4243" w:hanging="180"/>
      </w:pPr>
    </w:lvl>
    <w:lvl w:ilvl="6" w:tplc="040C000F">
      <w:start w:val="1"/>
      <w:numFmt w:val="decimal"/>
      <w:lvlText w:val="%7."/>
      <w:lvlJc w:val="left"/>
      <w:pPr>
        <w:ind w:left="4963" w:hanging="360"/>
      </w:pPr>
    </w:lvl>
    <w:lvl w:ilvl="7" w:tplc="040C0019">
      <w:start w:val="1"/>
      <w:numFmt w:val="lowerLetter"/>
      <w:lvlText w:val="%8."/>
      <w:lvlJc w:val="left"/>
      <w:pPr>
        <w:ind w:left="5683" w:hanging="360"/>
      </w:pPr>
    </w:lvl>
    <w:lvl w:ilvl="8" w:tplc="040C001B">
      <w:start w:val="1"/>
      <w:numFmt w:val="lowerRoman"/>
      <w:lvlText w:val="%9."/>
      <w:lvlJc w:val="right"/>
      <w:pPr>
        <w:ind w:left="6403" w:hanging="180"/>
      </w:p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FD5152"/>
    <w:multiLevelType w:val="hybridMultilevel"/>
    <w:tmpl w:val="FFFFFFFF"/>
    <w:lvl w:ilvl="0" w:tplc="B32E9724">
      <w:start w:val="1"/>
      <w:numFmt w:val="bullet"/>
      <w:lvlText w:val=""/>
      <w:lvlJc w:val="left"/>
      <w:pPr>
        <w:ind w:left="720" w:hanging="360"/>
      </w:pPr>
      <w:rPr>
        <w:rFonts w:ascii="Symbol" w:hAnsi="Symbol" w:hint="default"/>
      </w:rPr>
    </w:lvl>
    <w:lvl w:ilvl="1" w:tplc="A7DC38BC">
      <w:start w:val="1"/>
      <w:numFmt w:val="bullet"/>
      <w:lvlText w:val="o"/>
      <w:lvlJc w:val="left"/>
      <w:pPr>
        <w:ind w:left="1440" w:hanging="360"/>
      </w:pPr>
      <w:rPr>
        <w:rFonts w:ascii="Courier New" w:hAnsi="Courier New" w:hint="default"/>
      </w:rPr>
    </w:lvl>
    <w:lvl w:ilvl="2" w:tplc="CC14C800">
      <w:start w:val="1"/>
      <w:numFmt w:val="bullet"/>
      <w:lvlText w:val=""/>
      <w:lvlJc w:val="left"/>
      <w:pPr>
        <w:ind w:left="2160" w:hanging="360"/>
      </w:pPr>
      <w:rPr>
        <w:rFonts w:ascii="Wingdings" w:hAnsi="Wingdings" w:hint="default"/>
      </w:rPr>
    </w:lvl>
    <w:lvl w:ilvl="3" w:tplc="35B00930">
      <w:start w:val="1"/>
      <w:numFmt w:val="bullet"/>
      <w:lvlText w:val=""/>
      <w:lvlJc w:val="left"/>
      <w:pPr>
        <w:ind w:left="2880" w:hanging="360"/>
      </w:pPr>
      <w:rPr>
        <w:rFonts w:ascii="Symbol" w:hAnsi="Symbol" w:hint="default"/>
      </w:rPr>
    </w:lvl>
    <w:lvl w:ilvl="4" w:tplc="BDE45B22">
      <w:start w:val="1"/>
      <w:numFmt w:val="bullet"/>
      <w:lvlText w:val="o"/>
      <w:lvlJc w:val="left"/>
      <w:pPr>
        <w:ind w:left="3600" w:hanging="360"/>
      </w:pPr>
      <w:rPr>
        <w:rFonts w:ascii="Courier New" w:hAnsi="Courier New" w:hint="default"/>
      </w:rPr>
    </w:lvl>
    <w:lvl w:ilvl="5" w:tplc="A84A8974">
      <w:start w:val="1"/>
      <w:numFmt w:val="bullet"/>
      <w:lvlText w:val=""/>
      <w:lvlJc w:val="left"/>
      <w:pPr>
        <w:ind w:left="4320" w:hanging="360"/>
      </w:pPr>
      <w:rPr>
        <w:rFonts w:ascii="Wingdings" w:hAnsi="Wingdings" w:hint="default"/>
      </w:rPr>
    </w:lvl>
    <w:lvl w:ilvl="6" w:tplc="D02E3080">
      <w:start w:val="1"/>
      <w:numFmt w:val="bullet"/>
      <w:lvlText w:val=""/>
      <w:lvlJc w:val="left"/>
      <w:pPr>
        <w:ind w:left="5040" w:hanging="360"/>
      </w:pPr>
      <w:rPr>
        <w:rFonts w:ascii="Symbol" w:hAnsi="Symbol" w:hint="default"/>
      </w:rPr>
    </w:lvl>
    <w:lvl w:ilvl="7" w:tplc="18AE08F2">
      <w:start w:val="1"/>
      <w:numFmt w:val="bullet"/>
      <w:lvlText w:val="o"/>
      <w:lvlJc w:val="left"/>
      <w:pPr>
        <w:ind w:left="5760" w:hanging="360"/>
      </w:pPr>
      <w:rPr>
        <w:rFonts w:ascii="Courier New" w:hAnsi="Courier New" w:hint="default"/>
      </w:rPr>
    </w:lvl>
    <w:lvl w:ilvl="8" w:tplc="AE2ECBB4">
      <w:start w:val="1"/>
      <w:numFmt w:val="bullet"/>
      <w:lvlText w:val=""/>
      <w:lvlJc w:val="left"/>
      <w:pPr>
        <w:ind w:left="6480" w:hanging="360"/>
      </w:pPr>
      <w:rPr>
        <w:rFonts w:ascii="Wingdings" w:hAnsi="Wingdings" w:hint="default"/>
      </w:rPr>
    </w:lvl>
  </w:abstractNum>
  <w:abstractNum w:abstractNumId="12" w15:restartNumberingAfterBreak="0">
    <w:nsid w:val="2A1050D1"/>
    <w:multiLevelType w:val="multilevel"/>
    <w:tmpl w:val="DF52022E"/>
    <w:numStyleLink w:val="Style12"/>
  </w:abstractNum>
  <w:abstractNum w:abstractNumId="13"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2047EF"/>
    <w:multiLevelType w:val="hybridMultilevel"/>
    <w:tmpl w:val="C2C6AAE4"/>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851"/>
        </w:tabs>
        <w:ind w:left="851"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3228556F"/>
    <w:multiLevelType w:val="hybridMultilevel"/>
    <w:tmpl w:val="5D2026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5"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0" w15:restartNumberingAfterBreak="0">
    <w:nsid w:val="67D51CDF"/>
    <w:multiLevelType w:val="hybridMultilevel"/>
    <w:tmpl w:val="915AC6D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2"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3"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79C678E"/>
    <w:multiLevelType w:val="hybridMultilevel"/>
    <w:tmpl w:val="F138A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4"/>
  </w:num>
  <w:num w:numId="2" w16cid:durableId="2091075753">
    <w:abstractNumId w:val="33"/>
  </w:num>
  <w:num w:numId="3" w16cid:durableId="78143004">
    <w:abstractNumId w:val="6"/>
  </w:num>
  <w:num w:numId="4" w16cid:durableId="1168598885">
    <w:abstractNumId w:val="32"/>
  </w:num>
  <w:num w:numId="5" w16cid:durableId="506136845">
    <w:abstractNumId w:val="12"/>
  </w:num>
  <w:num w:numId="6" w16cid:durableId="208616768">
    <w:abstractNumId w:val="19"/>
  </w:num>
  <w:num w:numId="7" w16cid:durableId="1225482307">
    <w:abstractNumId w:val="29"/>
  </w:num>
  <w:num w:numId="8" w16cid:durableId="990063946">
    <w:abstractNumId w:val="4"/>
  </w:num>
  <w:num w:numId="9" w16cid:durableId="693263976">
    <w:abstractNumId w:val="31"/>
  </w:num>
  <w:num w:numId="10" w16cid:durableId="365251296">
    <w:abstractNumId w:val="23"/>
  </w:num>
  <w:num w:numId="11" w16cid:durableId="1875773511">
    <w:abstractNumId w:val="15"/>
  </w:num>
  <w:num w:numId="12" w16cid:durableId="959148444">
    <w:abstractNumId w:val="26"/>
  </w:num>
  <w:num w:numId="13" w16cid:durableId="1909221314">
    <w:abstractNumId w:val="22"/>
  </w:num>
  <w:num w:numId="14" w16cid:durableId="2019236047">
    <w:abstractNumId w:val="5"/>
  </w:num>
  <w:num w:numId="15" w16cid:durableId="516967035">
    <w:abstractNumId w:val="10"/>
  </w:num>
  <w:num w:numId="16" w16cid:durableId="1421020948">
    <w:abstractNumId w:val="14"/>
  </w:num>
  <w:num w:numId="17" w16cid:durableId="1100949244">
    <w:abstractNumId w:val="24"/>
  </w:num>
  <w:num w:numId="18" w16cid:durableId="1513035995">
    <w:abstractNumId w:val="21"/>
  </w:num>
  <w:num w:numId="19" w16cid:durableId="1377312126">
    <w:abstractNumId w:val="28"/>
  </w:num>
  <w:num w:numId="20" w16cid:durableId="768963116">
    <w:abstractNumId w:val="36"/>
  </w:num>
  <w:num w:numId="21" w16cid:durableId="1745295735">
    <w:abstractNumId w:val="17"/>
  </w:num>
  <w:num w:numId="22" w16cid:durableId="1261721609">
    <w:abstractNumId w:val="13"/>
  </w:num>
  <w:num w:numId="23" w16cid:durableId="408043361">
    <w:abstractNumId w:val="18"/>
  </w:num>
  <w:num w:numId="24" w16cid:durableId="1541891316">
    <w:abstractNumId w:val="37"/>
  </w:num>
  <w:num w:numId="25" w16cid:durableId="972977167">
    <w:abstractNumId w:val="25"/>
  </w:num>
  <w:num w:numId="26" w16cid:durableId="419837370">
    <w:abstractNumId w:val="27"/>
  </w:num>
  <w:num w:numId="27" w16cid:durableId="1537693462">
    <w:abstractNumId w:val="20"/>
  </w:num>
  <w:num w:numId="28" w16cid:durableId="977537773">
    <w:abstractNumId w:val="35"/>
  </w:num>
  <w:num w:numId="29" w16cid:durableId="646784116">
    <w:abstractNumId w:val="19"/>
  </w:num>
  <w:num w:numId="30" w16cid:durableId="1701397671">
    <w:abstractNumId w:val="11"/>
  </w:num>
  <w:num w:numId="31" w16cid:durableId="1229924846">
    <w:abstractNumId w:val="19"/>
  </w:num>
  <w:num w:numId="32" w16cid:durableId="655885288">
    <w:abstractNumId w:val="19"/>
  </w:num>
  <w:num w:numId="33" w16cid:durableId="21244216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060195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608852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4668462">
    <w:abstractNumId w:val="19"/>
  </w:num>
  <w:num w:numId="37" w16cid:durableId="1136410453">
    <w:abstractNumId w:val="19"/>
  </w:num>
  <w:num w:numId="38" w16cid:durableId="952857450">
    <w:abstractNumId w:val="8"/>
  </w:num>
  <w:num w:numId="39" w16cid:durableId="154305948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42EA"/>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876F3"/>
    <w:rsid w:val="000909EB"/>
    <w:rsid w:val="00090EA5"/>
    <w:rsid w:val="000911C5"/>
    <w:rsid w:val="000920F0"/>
    <w:rsid w:val="000925EB"/>
    <w:rsid w:val="000936A1"/>
    <w:rsid w:val="00093B83"/>
    <w:rsid w:val="0009435A"/>
    <w:rsid w:val="00095293"/>
    <w:rsid w:val="00095375"/>
    <w:rsid w:val="00096028"/>
    <w:rsid w:val="0009641D"/>
    <w:rsid w:val="000965D9"/>
    <w:rsid w:val="00096847"/>
    <w:rsid w:val="000970CA"/>
    <w:rsid w:val="00097A50"/>
    <w:rsid w:val="000A0AEB"/>
    <w:rsid w:val="000A0BA7"/>
    <w:rsid w:val="000A165A"/>
    <w:rsid w:val="000A30BE"/>
    <w:rsid w:val="000A368B"/>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4FA7"/>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E72A4"/>
    <w:rsid w:val="000F0264"/>
    <w:rsid w:val="000F07B1"/>
    <w:rsid w:val="000F0DC8"/>
    <w:rsid w:val="000F1392"/>
    <w:rsid w:val="000F1AED"/>
    <w:rsid w:val="000F1C17"/>
    <w:rsid w:val="000F1D5B"/>
    <w:rsid w:val="000F2321"/>
    <w:rsid w:val="000F3FD6"/>
    <w:rsid w:val="000F4F1A"/>
    <w:rsid w:val="000F599E"/>
    <w:rsid w:val="001001D9"/>
    <w:rsid w:val="00101FA2"/>
    <w:rsid w:val="00102F39"/>
    <w:rsid w:val="00102FC8"/>
    <w:rsid w:val="00103E1A"/>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4741F"/>
    <w:rsid w:val="00150362"/>
    <w:rsid w:val="00151DC4"/>
    <w:rsid w:val="00151EF9"/>
    <w:rsid w:val="00152408"/>
    <w:rsid w:val="001527EB"/>
    <w:rsid w:val="0015307E"/>
    <w:rsid w:val="001533B2"/>
    <w:rsid w:val="001534E4"/>
    <w:rsid w:val="00153B3A"/>
    <w:rsid w:val="00154414"/>
    <w:rsid w:val="00154A81"/>
    <w:rsid w:val="00155F8D"/>
    <w:rsid w:val="00156A57"/>
    <w:rsid w:val="00156DE1"/>
    <w:rsid w:val="00157DFA"/>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11C6"/>
    <w:rsid w:val="00181646"/>
    <w:rsid w:val="00181DE3"/>
    <w:rsid w:val="001835F8"/>
    <w:rsid w:val="001837E2"/>
    <w:rsid w:val="00184B00"/>
    <w:rsid w:val="00186454"/>
    <w:rsid w:val="0018688B"/>
    <w:rsid w:val="00186AF0"/>
    <w:rsid w:val="00187D2F"/>
    <w:rsid w:val="00190EF5"/>
    <w:rsid w:val="001916F2"/>
    <w:rsid w:val="001923A8"/>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8F5"/>
    <w:rsid w:val="001D1D88"/>
    <w:rsid w:val="001D38F8"/>
    <w:rsid w:val="001D3C3F"/>
    <w:rsid w:val="001D42DF"/>
    <w:rsid w:val="001D4321"/>
    <w:rsid w:val="001D50CA"/>
    <w:rsid w:val="001D5270"/>
    <w:rsid w:val="001D5979"/>
    <w:rsid w:val="001D597F"/>
    <w:rsid w:val="001D5A11"/>
    <w:rsid w:val="001D5FAA"/>
    <w:rsid w:val="001D6043"/>
    <w:rsid w:val="001D63DD"/>
    <w:rsid w:val="001D74A4"/>
    <w:rsid w:val="001D7BBE"/>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15D"/>
    <w:rsid w:val="00233410"/>
    <w:rsid w:val="002336AB"/>
    <w:rsid w:val="0023399C"/>
    <w:rsid w:val="00233A89"/>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081"/>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1F5B"/>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5BA"/>
    <w:rsid w:val="002B3D1C"/>
    <w:rsid w:val="002B53C8"/>
    <w:rsid w:val="002B5684"/>
    <w:rsid w:val="002B6103"/>
    <w:rsid w:val="002B6B0E"/>
    <w:rsid w:val="002B7371"/>
    <w:rsid w:val="002B792A"/>
    <w:rsid w:val="002C0046"/>
    <w:rsid w:val="002C057F"/>
    <w:rsid w:val="002C1505"/>
    <w:rsid w:val="002C1F44"/>
    <w:rsid w:val="002C1F60"/>
    <w:rsid w:val="002C21F0"/>
    <w:rsid w:val="002C2F10"/>
    <w:rsid w:val="002C3506"/>
    <w:rsid w:val="002C35C9"/>
    <w:rsid w:val="002C394F"/>
    <w:rsid w:val="002C3C24"/>
    <w:rsid w:val="002C3F4E"/>
    <w:rsid w:val="002C54F0"/>
    <w:rsid w:val="002C55DC"/>
    <w:rsid w:val="002C71E9"/>
    <w:rsid w:val="002C7F02"/>
    <w:rsid w:val="002C7FF3"/>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3E8F"/>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449"/>
    <w:rsid w:val="003209DE"/>
    <w:rsid w:val="00320C6E"/>
    <w:rsid w:val="0032351E"/>
    <w:rsid w:val="00324137"/>
    <w:rsid w:val="003245B0"/>
    <w:rsid w:val="00324CC6"/>
    <w:rsid w:val="0032595E"/>
    <w:rsid w:val="00330B4C"/>
    <w:rsid w:val="0033311B"/>
    <w:rsid w:val="00334236"/>
    <w:rsid w:val="00334477"/>
    <w:rsid w:val="0033462D"/>
    <w:rsid w:val="0033545C"/>
    <w:rsid w:val="0033784F"/>
    <w:rsid w:val="0034020F"/>
    <w:rsid w:val="00340A6C"/>
    <w:rsid w:val="00340E18"/>
    <w:rsid w:val="003413C5"/>
    <w:rsid w:val="00343707"/>
    <w:rsid w:val="00343E58"/>
    <w:rsid w:val="00344AA7"/>
    <w:rsid w:val="00347BD5"/>
    <w:rsid w:val="00352A25"/>
    <w:rsid w:val="00352A3D"/>
    <w:rsid w:val="00353195"/>
    <w:rsid w:val="00354541"/>
    <w:rsid w:val="00355CFD"/>
    <w:rsid w:val="003600C6"/>
    <w:rsid w:val="00360390"/>
    <w:rsid w:val="00360996"/>
    <w:rsid w:val="00360ABD"/>
    <w:rsid w:val="003618BF"/>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88F"/>
    <w:rsid w:val="00391AC8"/>
    <w:rsid w:val="00393A3D"/>
    <w:rsid w:val="00394612"/>
    <w:rsid w:val="00395AEB"/>
    <w:rsid w:val="00395C0A"/>
    <w:rsid w:val="00396921"/>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1AE6"/>
    <w:rsid w:val="003C347F"/>
    <w:rsid w:val="003C3C50"/>
    <w:rsid w:val="003D1495"/>
    <w:rsid w:val="003D3F76"/>
    <w:rsid w:val="003D432E"/>
    <w:rsid w:val="003D43EA"/>
    <w:rsid w:val="003D4490"/>
    <w:rsid w:val="003D4730"/>
    <w:rsid w:val="003D47F3"/>
    <w:rsid w:val="003D5250"/>
    <w:rsid w:val="003D5603"/>
    <w:rsid w:val="003D582D"/>
    <w:rsid w:val="003D62BE"/>
    <w:rsid w:val="003D6351"/>
    <w:rsid w:val="003D6F76"/>
    <w:rsid w:val="003D714E"/>
    <w:rsid w:val="003D7EC7"/>
    <w:rsid w:val="003E07B1"/>
    <w:rsid w:val="003E2188"/>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42E"/>
    <w:rsid w:val="003F3A16"/>
    <w:rsid w:val="003F4A64"/>
    <w:rsid w:val="003F6504"/>
    <w:rsid w:val="003F6FF6"/>
    <w:rsid w:val="003F713A"/>
    <w:rsid w:val="003F7419"/>
    <w:rsid w:val="00400227"/>
    <w:rsid w:val="004012BF"/>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6D38"/>
    <w:rsid w:val="00427BF6"/>
    <w:rsid w:val="00432606"/>
    <w:rsid w:val="00432673"/>
    <w:rsid w:val="00432754"/>
    <w:rsid w:val="00433EBC"/>
    <w:rsid w:val="00435D1D"/>
    <w:rsid w:val="004367EF"/>
    <w:rsid w:val="004371C6"/>
    <w:rsid w:val="004374C8"/>
    <w:rsid w:val="00437E0F"/>
    <w:rsid w:val="004417CF"/>
    <w:rsid w:val="00441F5F"/>
    <w:rsid w:val="004465B2"/>
    <w:rsid w:val="00446D5A"/>
    <w:rsid w:val="0044712C"/>
    <w:rsid w:val="004474C0"/>
    <w:rsid w:val="004475F6"/>
    <w:rsid w:val="0045048E"/>
    <w:rsid w:val="0045059E"/>
    <w:rsid w:val="004524BC"/>
    <w:rsid w:val="004531DB"/>
    <w:rsid w:val="00453971"/>
    <w:rsid w:val="00454554"/>
    <w:rsid w:val="00454B4D"/>
    <w:rsid w:val="0045502B"/>
    <w:rsid w:val="00455567"/>
    <w:rsid w:val="00455EC1"/>
    <w:rsid w:val="00456522"/>
    <w:rsid w:val="00456B9F"/>
    <w:rsid w:val="00457A56"/>
    <w:rsid w:val="004613D6"/>
    <w:rsid w:val="0046373C"/>
    <w:rsid w:val="00463DB8"/>
    <w:rsid w:val="00464136"/>
    <w:rsid w:val="004651E0"/>
    <w:rsid w:val="00466A01"/>
    <w:rsid w:val="004678EF"/>
    <w:rsid w:val="00470A07"/>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F7E"/>
    <w:rsid w:val="004D00C5"/>
    <w:rsid w:val="004D01F0"/>
    <w:rsid w:val="004D1405"/>
    <w:rsid w:val="004D1A73"/>
    <w:rsid w:val="004D1F4A"/>
    <w:rsid w:val="004D214E"/>
    <w:rsid w:val="004D26DF"/>
    <w:rsid w:val="004D2E92"/>
    <w:rsid w:val="004D3298"/>
    <w:rsid w:val="004D3B36"/>
    <w:rsid w:val="004D3EC3"/>
    <w:rsid w:val="004D46E0"/>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01B"/>
    <w:rsid w:val="005049C5"/>
    <w:rsid w:val="00504F16"/>
    <w:rsid w:val="00505DA7"/>
    <w:rsid w:val="00505FA4"/>
    <w:rsid w:val="00507340"/>
    <w:rsid w:val="0051319D"/>
    <w:rsid w:val="00513A90"/>
    <w:rsid w:val="00513C8E"/>
    <w:rsid w:val="00515037"/>
    <w:rsid w:val="00517E54"/>
    <w:rsid w:val="00520B09"/>
    <w:rsid w:val="00521A6A"/>
    <w:rsid w:val="00522832"/>
    <w:rsid w:val="005230A3"/>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0F0F"/>
    <w:rsid w:val="00551555"/>
    <w:rsid w:val="0055249E"/>
    <w:rsid w:val="00552665"/>
    <w:rsid w:val="005534A4"/>
    <w:rsid w:val="00554039"/>
    <w:rsid w:val="00557DA0"/>
    <w:rsid w:val="00560487"/>
    <w:rsid w:val="005614A4"/>
    <w:rsid w:val="0056236C"/>
    <w:rsid w:val="0056480A"/>
    <w:rsid w:val="0056699C"/>
    <w:rsid w:val="005715DF"/>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460"/>
    <w:rsid w:val="005A07F7"/>
    <w:rsid w:val="005A18CB"/>
    <w:rsid w:val="005A3C15"/>
    <w:rsid w:val="005A3D7F"/>
    <w:rsid w:val="005A46B2"/>
    <w:rsid w:val="005A47B3"/>
    <w:rsid w:val="005A4F49"/>
    <w:rsid w:val="005A76C5"/>
    <w:rsid w:val="005A7A43"/>
    <w:rsid w:val="005B0A85"/>
    <w:rsid w:val="005B12EA"/>
    <w:rsid w:val="005B4C68"/>
    <w:rsid w:val="005B4E2C"/>
    <w:rsid w:val="005B4E83"/>
    <w:rsid w:val="005B6156"/>
    <w:rsid w:val="005B6BBE"/>
    <w:rsid w:val="005B7FEC"/>
    <w:rsid w:val="005C016E"/>
    <w:rsid w:val="005C13DE"/>
    <w:rsid w:val="005C1B8E"/>
    <w:rsid w:val="005C2052"/>
    <w:rsid w:val="005C3F48"/>
    <w:rsid w:val="005C437D"/>
    <w:rsid w:val="005C47CE"/>
    <w:rsid w:val="005C6F7E"/>
    <w:rsid w:val="005C71B4"/>
    <w:rsid w:val="005D049F"/>
    <w:rsid w:val="005D0A2D"/>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053B"/>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BB4"/>
    <w:rsid w:val="00616D62"/>
    <w:rsid w:val="00617433"/>
    <w:rsid w:val="006176AD"/>
    <w:rsid w:val="00620740"/>
    <w:rsid w:val="00621724"/>
    <w:rsid w:val="00622355"/>
    <w:rsid w:val="00622937"/>
    <w:rsid w:val="00622EC0"/>
    <w:rsid w:val="006236DD"/>
    <w:rsid w:val="00623873"/>
    <w:rsid w:val="0062398D"/>
    <w:rsid w:val="006245C8"/>
    <w:rsid w:val="00625411"/>
    <w:rsid w:val="0062596B"/>
    <w:rsid w:val="00625AFB"/>
    <w:rsid w:val="00626BCB"/>
    <w:rsid w:val="00627254"/>
    <w:rsid w:val="006306A6"/>
    <w:rsid w:val="00632A3A"/>
    <w:rsid w:val="00633818"/>
    <w:rsid w:val="00633D8A"/>
    <w:rsid w:val="0063405E"/>
    <w:rsid w:val="00634477"/>
    <w:rsid w:val="00635F5C"/>
    <w:rsid w:val="00636196"/>
    <w:rsid w:val="0063793D"/>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550D"/>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558"/>
    <w:rsid w:val="00697A3B"/>
    <w:rsid w:val="006A04E1"/>
    <w:rsid w:val="006A143D"/>
    <w:rsid w:val="006A3026"/>
    <w:rsid w:val="006A30EB"/>
    <w:rsid w:val="006A31A3"/>
    <w:rsid w:val="006A3413"/>
    <w:rsid w:val="006A4980"/>
    <w:rsid w:val="006A4BCD"/>
    <w:rsid w:val="006A560C"/>
    <w:rsid w:val="006A59DF"/>
    <w:rsid w:val="006A6A5D"/>
    <w:rsid w:val="006B0C09"/>
    <w:rsid w:val="006B1912"/>
    <w:rsid w:val="006B2364"/>
    <w:rsid w:val="006B2661"/>
    <w:rsid w:val="006B281E"/>
    <w:rsid w:val="006B364F"/>
    <w:rsid w:val="006B4535"/>
    <w:rsid w:val="006B5676"/>
    <w:rsid w:val="006B78B5"/>
    <w:rsid w:val="006C0201"/>
    <w:rsid w:val="006C0323"/>
    <w:rsid w:val="006C1191"/>
    <w:rsid w:val="006C1404"/>
    <w:rsid w:val="006C1974"/>
    <w:rsid w:val="006C210B"/>
    <w:rsid w:val="006C25B7"/>
    <w:rsid w:val="006C2F1E"/>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6F7AC3"/>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2DEA"/>
    <w:rsid w:val="007136E4"/>
    <w:rsid w:val="00713952"/>
    <w:rsid w:val="00713D6F"/>
    <w:rsid w:val="007140A9"/>
    <w:rsid w:val="007156E0"/>
    <w:rsid w:val="00715A63"/>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0399"/>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671F4"/>
    <w:rsid w:val="007730A7"/>
    <w:rsid w:val="00773387"/>
    <w:rsid w:val="0077425E"/>
    <w:rsid w:val="007744DE"/>
    <w:rsid w:val="00774FE3"/>
    <w:rsid w:val="0077625C"/>
    <w:rsid w:val="00776617"/>
    <w:rsid w:val="00776920"/>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077"/>
    <w:rsid w:val="0079252F"/>
    <w:rsid w:val="00794B92"/>
    <w:rsid w:val="00795D75"/>
    <w:rsid w:val="007A0CD6"/>
    <w:rsid w:val="007A17F4"/>
    <w:rsid w:val="007A2560"/>
    <w:rsid w:val="007A28A2"/>
    <w:rsid w:val="007A2FFA"/>
    <w:rsid w:val="007A3FF7"/>
    <w:rsid w:val="007A437C"/>
    <w:rsid w:val="007A465E"/>
    <w:rsid w:val="007A4851"/>
    <w:rsid w:val="007A4D0E"/>
    <w:rsid w:val="007A54BD"/>
    <w:rsid w:val="007A5861"/>
    <w:rsid w:val="007A5EE5"/>
    <w:rsid w:val="007A6F15"/>
    <w:rsid w:val="007B2217"/>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3FE"/>
    <w:rsid w:val="007D5A59"/>
    <w:rsid w:val="007D5EA8"/>
    <w:rsid w:val="007E1431"/>
    <w:rsid w:val="007E1DA9"/>
    <w:rsid w:val="007E2846"/>
    <w:rsid w:val="007E2894"/>
    <w:rsid w:val="007E28C4"/>
    <w:rsid w:val="007E3668"/>
    <w:rsid w:val="007E38CC"/>
    <w:rsid w:val="007E4D10"/>
    <w:rsid w:val="007E4DA6"/>
    <w:rsid w:val="007E4E12"/>
    <w:rsid w:val="007E68C9"/>
    <w:rsid w:val="007E6ABE"/>
    <w:rsid w:val="007E7B5B"/>
    <w:rsid w:val="007F04F2"/>
    <w:rsid w:val="007F1410"/>
    <w:rsid w:val="007F25A1"/>
    <w:rsid w:val="007F2AC6"/>
    <w:rsid w:val="007F3AA3"/>
    <w:rsid w:val="007F5798"/>
    <w:rsid w:val="007F579C"/>
    <w:rsid w:val="007F5A14"/>
    <w:rsid w:val="007F5E00"/>
    <w:rsid w:val="007F6004"/>
    <w:rsid w:val="007F6534"/>
    <w:rsid w:val="007F697B"/>
    <w:rsid w:val="0080005C"/>
    <w:rsid w:val="008004EC"/>
    <w:rsid w:val="00801537"/>
    <w:rsid w:val="00801EE8"/>
    <w:rsid w:val="008028A5"/>
    <w:rsid w:val="008034EC"/>
    <w:rsid w:val="0080393C"/>
    <w:rsid w:val="00804622"/>
    <w:rsid w:val="0080476D"/>
    <w:rsid w:val="00804BBB"/>
    <w:rsid w:val="00805092"/>
    <w:rsid w:val="00805725"/>
    <w:rsid w:val="008062DD"/>
    <w:rsid w:val="0080684F"/>
    <w:rsid w:val="00806B57"/>
    <w:rsid w:val="00807530"/>
    <w:rsid w:val="00807A05"/>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00A"/>
    <w:rsid w:val="00826993"/>
    <w:rsid w:val="00826B88"/>
    <w:rsid w:val="00826DDF"/>
    <w:rsid w:val="008278A1"/>
    <w:rsid w:val="0083029C"/>
    <w:rsid w:val="0083032C"/>
    <w:rsid w:val="008309E1"/>
    <w:rsid w:val="00830E29"/>
    <w:rsid w:val="008333F4"/>
    <w:rsid w:val="008338BD"/>
    <w:rsid w:val="00834474"/>
    <w:rsid w:val="00834844"/>
    <w:rsid w:val="00836F12"/>
    <w:rsid w:val="0083708F"/>
    <w:rsid w:val="00837764"/>
    <w:rsid w:val="00840357"/>
    <w:rsid w:val="0084037F"/>
    <w:rsid w:val="008430F4"/>
    <w:rsid w:val="00843D0E"/>
    <w:rsid w:val="00843FB2"/>
    <w:rsid w:val="008455EF"/>
    <w:rsid w:val="00845C74"/>
    <w:rsid w:val="008460CB"/>
    <w:rsid w:val="00846EAC"/>
    <w:rsid w:val="008510E2"/>
    <w:rsid w:val="0085201F"/>
    <w:rsid w:val="00852CA0"/>
    <w:rsid w:val="00853060"/>
    <w:rsid w:val="00853CD6"/>
    <w:rsid w:val="008550B0"/>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5970"/>
    <w:rsid w:val="00876767"/>
    <w:rsid w:val="00876915"/>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1D3D"/>
    <w:rsid w:val="008A265A"/>
    <w:rsid w:val="008A400C"/>
    <w:rsid w:val="008A490A"/>
    <w:rsid w:val="008A5D40"/>
    <w:rsid w:val="008A6B74"/>
    <w:rsid w:val="008A772B"/>
    <w:rsid w:val="008A7F27"/>
    <w:rsid w:val="008B0B67"/>
    <w:rsid w:val="008B160B"/>
    <w:rsid w:val="008B23C5"/>
    <w:rsid w:val="008B2BEE"/>
    <w:rsid w:val="008B3A61"/>
    <w:rsid w:val="008B440E"/>
    <w:rsid w:val="008B617C"/>
    <w:rsid w:val="008B6846"/>
    <w:rsid w:val="008B6DCF"/>
    <w:rsid w:val="008C0177"/>
    <w:rsid w:val="008C0B18"/>
    <w:rsid w:val="008C1441"/>
    <w:rsid w:val="008C154B"/>
    <w:rsid w:val="008C31A8"/>
    <w:rsid w:val="008C345E"/>
    <w:rsid w:val="008C46D7"/>
    <w:rsid w:val="008C59DC"/>
    <w:rsid w:val="008C66BF"/>
    <w:rsid w:val="008C6B2F"/>
    <w:rsid w:val="008C7CD8"/>
    <w:rsid w:val="008D0A75"/>
    <w:rsid w:val="008D111C"/>
    <w:rsid w:val="008D3FD1"/>
    <w:rsid w:val="008D55B2"/>
    <w:rsid w:val="008D57B3"/>
    <w:rsid w:val="008D5B19"/>
    <w:rsid w:val="008D6DC0"/>
    <w:rsid w:val="008D7187"/>
    <w:rsid w:val="008E12D7"/>
    <w:rsid w:val="008E29CB"/>
    <w:rsid w:val="008E2F52"/>
    <w:rsid w:val="008E3024"/>
    <w:rsid w:val="008E307A"/>
    <w:rsid w:val="008E389A"/>
    <w:rsid w:val="008E3DED"/>
    <w:rsid w:val="008E419A"/>
    <w:rsid w:val="008E42CA"/>
    <w:rsid w:val="008E57AB"/>
    <w:rsid w:val="008E5DC7"/>
    <w:rsid w:val="008E6440"/>
    <w:rsid w:val="008E6931"/>
    <w:rsid w:val="008F001D"/>
    <w:rsid w:val="008F0434"/>
    <w:rsid w:val="008F1D99"/>
    <w:rsid w:val="008F2A3C"/>
    <w:rsid w:val="008F5A6E"/>
    <w:rsid w:val="008F6465"/>
    <w:rsid w:val="008F71C5"/>
    <w:rsid w:val="008F74B5"/>
    <w:rsid w:val="00901283"/>
    <w:rsid w:val="00903516"/>
    <w:rsid w:val="00904061"/>
    <w:rsid w:val="00905903"/>
    <w:rsid w:val="00906B8B"/>
    <w:rsid w:val="00906DB8"/>
    <w:rsid w:val="00906F06"/>
    <w:rsid w:val="009076B4"/>
    <w:rsid w:val="00907818"/>
    <w:rsid w:val="009103B9"/>
    <w:rsid w:val="00910B0A"/>
    <w:rsid w:val="00911419"/>
    <w:rsid w:val="00911E15"/>
    <w:rsid w:val="009121A2"/>
    <w:rsid w:val="00912E7E"/>
    <w:rsid w:val="0091478A"/>
    <w:rsid w:val="0091500F"/>
    <w:rsid w:val="00915174"/>
    <w:rsid w:val="0091661D"/>
    <w:rsid w:val="0091679F"/>
    <w:rsid w:val="00920303"/>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69C"/>
    <w:rsid w:val="00950805"/>
    <w:rsid w:val="009512F7"/>
    <w:rsid w:val="0095190E"/>
    <w:rsid w:val="00951C7A"/>
    <w:rsid w:val="00952DCE"/>
    <w:rsid w:val="00953686"/>
    <w:rsid w:val="0095426A"/>
    <w:rsid w:val="009551DD"/>
    <w:rsid w:val="009554B4"/>
    <w:rsid w:val="00955E08"/>
    <w:rsid w:val="0095682E"/>
    <w:rsid w:val="009570DF"/>
    <w:rsid w:val="00957D09"/>
    <w:rsid w:val="00965250"/>
    <w:rsid w:val="0096558D"/>
    <w:rsid w:val="00967E9D"/>
    <w:rsid w:val="0097261E"/>
    <w:rsid w:val="0097360E"/>
    <w:rsid w:val="0097379E"/>
    <w:rsid w:val="00977608"/>
    <w:rsid w:val="00977A7B"/>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40FE"/>
    <w:rsid w:val="00995893"/>
    <w:rsid w:val="00995BD6"/>
    <w:rsid w:val="00995CCC"/>
    <w:rsid w:val="00995EB5"/>
    <w:rsid w:val="0099633B"/>
    <w:rsid w:val="00997952"/>
    <w:rsid w:val="009A1621"/>
    <w:rsid w:val="009A16D4"/>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534F"/>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456E"/>
    <w:rsid w:val="009F56C7"/>
    <w:rsid w:val="009F58E9"/>
    <w:rsid w:val="009F6C11"/>
    <w:rsid w:val="009F6E4B"/>
    <w:rsid w:val="00A01461"/>
    <w:rsid w:val="00A014EF"/>
    <w:rsid w:val="00A019C0"/>
    <w:rsid w:val="00A03852"/>
    <w:rsid w:val="00A03E5F"/>
    <w:rsid w:val="00A05E25"/>
    <w:rsid w:val="00A06F63"/>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179CD"/>
    <w:rsid w:val="00A2089F"/>
    <w:rsid w:val="00A20FCA"/>
    <w:rsid w:val="00A21BB2"/>
    <w:rsid w:val="00A22211"/>
    <w:rsid w:val="00A224F7"/>
    <w:rsid w:val="00A22EAC"/>
    <w:rsid w:val="00A23006"/>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5D6"/>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23E2"/>
    <w:rsid w:val="00A838BA"/>
    <w:rsid w:val="00A83AAD"/>
    <w:rsid w:val="00A852A7"/>
    <w:rsid w:val="00A85D7C"/>
    <w:rsid w:val="00A86AAB"/>
    <w:rsid w:val="00A91335"/>
    <w:rsid w:val="00A9168D"/>
    <w:rsid w:val="00A92075"/>
    <w:rsid w:val="00A924CD"/>
    <w:rsid w:val="00A92EB0"/>
    <w:rsid w:val="00A932E0"/>
    <w:rsid w:val="00A950FB"/>
    <w:rsid w:val="00A957C6"/>
    <w:rsid w:val="00A95D88"/>
    <w:rsid w:val="00A96A79"/>
    <w:rsid w:val="00A9775F"/>
    <w:rsid w:val="00AA192D"/>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52F6"/>
    <w:rsid w:val="00AC6A86"/>
    <w:rsid w:val="00AC71F1"/>
    <w:rsid w:val="00AC793E"/>
    <w:rsid w:val="00AD0CC6"/>
    <w:rsid w:val="00AD1BB7"/>
    <w:rsid w:val="00AD1DFD"/>
    <w:rsid w:val="00AD2130"/>
    <w:rsid w:val="00AD2806"/>
    <w:rsid w:val="00AD3101"/>
    <w:rsid w:val="00AD32F6"/>
    <w:rsid w:val="00AD3796"/>
    <w:rsid w:val="00AD4870"/>
    <w:rsid w:val="00AD6CD1"/>
    <w:rsid w:val="00AD7090"/>
    <w:rsid w:val="00AE08B2"/>
    <w:rsid w:val="00AE249C"/>
    <w:rsid w:val="00AE334A"/>
    <w:rsid w:val="00AE3AB0"/>
    <w:rsid w:val="00AE414B"/>
    <w:rsid w:val="00AE4165"/>
    <w:rsid w:val="00AE6A25"/>
    <w:rsid w:val="00AE6CFD"/>
    <w:rsid w:val="00AE7E85"/>
    <w:rsid w:val="00AF1A96"/>
    <w:rsid w:val="00AF1E4E"/>
    <w:rsid w:val="00AF2DBC"/>
    <w:rsid w:val="00AF2F20"/>
    <w:rsid w:val="00AF330C"/>
    <w:rsid w:val="00AF3679"/>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30D0"/>
    <w:rsid w:val="00B1493D"/>
    <w:rsid w:val="00B1529D"/>
    <w:rsid w:val="00B17F27"/>
    <w:rsid w:val="00B17F61"/>
    <w:rsid w:val="00B2126F"/>
    <w:rsid w:val="00B21A96"/>
    <w:rsid w:val="00B21EF5"/>
    <w:rsid w:val="00B22456"/>
    <w:rsid w:val="00B243BE"/>
    <w:rsid w:val="00B249A4"/>
    <w:rsid w:val="00B26591"/>
    <w:rsid w:val="00B27064"/>
    <w:rsid w:val="00B27B5E"/>
    <w:rsid w:val="00B27FE3"/>
    <w:rsid w:val="00B30689"/>
    <w:rsid w:val="00B30BF7"/>
    <w:rsid w:val="00B3145A"/>
    <w:rsid w:val="00B348A7"/>
    <w:rsid w:val="00B34AA6"/>
    <w:rsid w:val="00B35160"/>
    <w:rsid w:val="00B36F60"/>
    <w:rsid w:val="00B374F6"/>
    <w:rsid w:val="00B376AD"/>
    <w:rsid w:val="00B40260"/>
    <w:rsid w:val="00B40D9D"/>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0832"/>
    <w:rsid w:val="00B613D0"/>
    <w:rsid w:val="00B6147C"/>
    <w:rsid w:val="00B6193F"/>
    <w:rsid w:val="00B62C41"/>
    <w:rsid w:val="00B635E4"/>
    <w:rsid w:val="00B63AA1"/>
    <w:rsid w:val="00B63AF7"/>
    <w:rsid w:val="00B63DFF"/>
    <w:rsid w:val="00B63EEE"/>
    <w:rsid w:val="00B6599F"/>
    <w:rsid w:val="00B716E2"/>
    <w:rsid w:val="00B71DCE"/>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30B4"/>
    <w:rsid w:val="00BB3F49"/>
    <w:rsid w:val="00BB5041"/>
    <w:rsid w:val="00BB5B76"/>
    <w:rsid w:val="00BB5C9D"/>
    <w:rsid w:val="00BB62B3"/>
    <w:rsid w:val="00BB6B2E"/>
    <w:rsid w:val="00BC0008"/>
    <w:rsid w:val="00BC0E1E"/>
    <w:rsid w:val="00BC14E5"/>
    <w:rsid w:val="00BC1605"/>
    <w:rsid w:val="00BC2334"/>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E70F5"/>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36A"/>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5665"/>
    <w:rsid w:val="00C370E0"/>
    <w:rsid w:val="00C377EB"/>
    <w:rsid w:val="00C37BB6"/>
    <w:rsid w:val="00C37F0C"/>
    <w:rsid w:val="00C409F1"/>
    <w:rsid w:val="00C40DF2"/>
    <w:rsid w:val="00C42206"/>
    <w:rsid w:val="00C42709"/>
    <w:rsid w:val="00C438CD"/>
    <w:rsid w:val="00C44494"/>
    <w:rsid w:val="00C4558F"/>
    <w:rsid w:val="00C45779"/>
    <w:rsid w:val="00C45926"/>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49C5"/>
    <w:rsid w:val="00C756C6"/>
    <w:rsid w:val="00C8035A"/>
    <w:rsid w:val="00C81D48"/>
    <w:rsid w:val="00C82A5E"/>
    <w:rsid w:val="00C82E4B"/>
    <w:rsid w:val="00C82E7B"/>
    <w:rsid w:val="00C8330B"/>
    <w:rsid w:val="00C8369A"/>
    <w:rsid w:val="00C860A8"/>
    <w:rsid w:val="00C861B2"/>
    <w:rsid w:val="00C86B6D"/>
    <w:rsid w:val="00C874D5"/>
    <w:rsid w:val="00C87682"/>
    <w:rsid w:val="00C9029C"/>
    <w:rsid w:val="00C90D27"/>
    <w:rsid w:val="00C91FAA"/>
    <w:rsid w:val="00C9260D"/>
    <w:rsid w:val="00C94793"/>
    <w:rsid w:val="00C952E6"/>
    <w:rsid w:val="00C95A2A"/>
    <w:rsid w:val="00C9628D"/>
    <w:rsid w:val="00C96534"/>
    <w:rsid w:val="00CA0E6B"/>
    <w:rsid w:val="00CA10F1"/>
    <w:rsid w:val="00CA1291"/>
    <w:rsid w:val="00CA369E"/>
    <w:rsid w:val="00CA49B8"/>
    <w:rsid w:val="00CA4A1E"/>
    <w:rsid w:val="00CA60CA"/>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4A45"/>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0BC1"/>
    <w:rsid w:val="00D14A7C"/>
    <w:rsid w:val="00D15202"/>
    <w:rsid w:val="00D1528A"/>
    <w:rsid w:val="00D17ECB"/>
    <w:rsid w:val="00D21446"/>
    <w:rsid w:val="00D23275"/>
    <w:rsid w:val="00D24131"/>
    <w:rsid w:val="00D2516F"/>
    <w:rsid w:val="00D25922"/>
    <w:rsid w:val="00D277B1"/>
    <w:rsid w:val="00D30557"/>
    <w:rsid w:val="00D30A11"/>
    <w:rsid w:val="00D32E49"/>
    <w:rsid w:val="00D32EEF"/>
    <w:rsid w:val="00D34C48"/>
    <w:rsid w:val="00D362C3"/>
    <w:rsid w:val="00D36B17"/>
    <w:rsid w:val="00D36B97"/>
    <w:rsid w:val="00D410A7"/>
    <w:rsid w:val="00D416C9"/>
    <w:rsid w:val="00D417AE"/>
    <w:rsid w:val="00D435BA"/>
    <w:rsid w:val="00D43ABB"/>
    <w:rsid w:val="00D43C4B"/>
    <w:rsid w:val="00D43CB8"/>
    <w:rsid w:val="00D44506"/>
    <w:rsid w:val="00D44690"/>
    <w:rsid w:val="00D45797"/>
    <w:rsid w:val="00D465C9"/>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121"/>
    <w:rsid w:val="00D713A1"/>
    <w:rsid w:val="00D71AB5"/>
    <w:rsid w:val="00D71AF8"/>
    <w:rsid w:val="00D72ADE"/>
    <w:rsid w:val="00D72C23"/>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AFB"/>
    <w:rsid w:val="00D97CA6"/>
    <w:rsid w:val="00DA07DD"/>
    <w:rsid w:val="00DA1BCE"/>
    <w:rsid w:val="00DA20F5"/>
    <w:rsid w:val="00DA2A15"/>
    <w:rsid w:val="00DA37B3"/>
    <w:rsid w:val="00DA389E"/>
    <w:rsid w:val="00DA3AC9"/>
    <w:rsid w:val="00DA4159"/>
    <w:rsid w:val="00DA444B"/>
    <w:rsid w:val="00DA4C2D"/>
    <w:rsid w:val="00DA69F4"/>
    <w:rsid w:val="00DA7A8A"/>
    <w:rsid w:val="00DB0664"/>
    <w:rsid w:val="00DB1E45"/>
    <w:rsid w:val="00DB2D45"/>
    <w:rsid w:val="00DB41BE"/>
    <w:rsid w:val="00DB497B"/>
    <w:rsid w:val="00DC0759"/>
    <w:rsid w:val="00DC1055"/>
    <w:rsid w:val="00DC1B34"/>
    <w:rsid w:val="00DC1C7C"/>
    <w:rsid w:val="00DC3548"/>
    <w:rsid w:val="00DC4A59"/>
    <w:rsid w:val="00DC5A1D"/>
    <w:rsid w:val="00DC5F7A"/>
    <w:rsid w:val="00DC6301"/>
    <w:rsid w:val="00DC79C5"/>
    <w:rsid w:val="00DC7B65"/>
    <w:rsid w:val="00DD01BC"/>
    <w:rsid w:val="00DD02AA"/>
    <w:rsid w:val="00DD0D02"/>
    <w:rsid w:val="00DD12FF"/>
    <w:rsid w:val="00DD1E3C"/>
    <w:rsid w:val="00DD2E49"/>
    <w:rsid w:val="00DD39EF"/>
    <w:rsid w:val="00DD468B"/>
    <w:rsid w:val="00DD4BD5"/>
    <w:rsid w:val="00DD546B"/>
    <w:rsid w:val="00DD55AB"/>
    <w:rsid w:val="00DD57D4"/>
    <w:rsid w:val="00DD5821"/>
    <w:rsid w:val="00DD673B"/>
    <w:rsid w:val="00DD6E07"/>
    <w:rsid w:val="00DD6F65"/>
    <w:rsid w:val="00DD7587"/>
    <w:rsid w:val="00DD7A9A"/>
    <w:rsid w:val="00DE0581"/>
    <w:rsid w:val="00DE1116"/>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4BD0"/>
    <w:rsid w:val="00DF6049"/>
    <w:rsid w:val="00DF6092"/>
    <w:rsid w:val="00DF636E"/>
    <w:rsid w:val="00DF7281"/>
    <w:rsid w:val="00E019CA"/>
    <w:rsid w:val="00E01E99"/>
    <w:rsid w:val="00E02E69"/>
    <w:rsid w:val="00E035DE"/>
    <w:rsid w:val="00E038D7"/>
    <w:rsid w:val="00E03D3A"/>
    <w:rsid w:val="00E06565"/>
    <w:rsid w:val="00E06B9A"/>
    <w:rsid w:val="00E10AF2"/>
    <w:rsid w:val="00E10D8A"/>
    <w:rsid w:val="00E10DB9"/>
    <w:rsid w:val="00E1124C"/>
    <w:rsid w:val="00E113EF"/>
    <w:rsid w:val="00E1147D"/>
    <w:rsid w:val="00E11631"/>
    <w:rsid w:val="00E117C6"/>
    <w:rsid w:val="00E127F7"/>
    <w:rsid w:val="00E15FD3"/>
    <w:rsid w:val="00E167C7"/>
    <w:rsid w:val="00E16B55"/>
    <w:rsid w:val="00E20AFA"/>
    <w:rsid w:val="00E20BD9"/>
    <w:rsid w:val="00E20E3E"/>
    <w:rsid w:val="00E22FF0"/>
    <w:rsid w:val="00E239DD"/>
    <w:rsid w:val="00E24FB7"/>
    <w:rsid w:val="00E2514F"/>
    <w:rsid w:val="00E25EBA"/>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244A"/>
    <w:rsid w:val="00E45045"/>
    <w:rsid w:val="00E4534D"/>
    <w:rsid w:val="00E46A4A"/>
    <w:rsid w:val="00E479BE"/>
    <w:rsid w:val="00E479C7"/>
    <w:rsid w:val="00E50274"/>
    <w:rsid w:val="00E517EC"/>
    <w:rsid w:val="00E5196D"/>
    <w:rsid w:val="00E51F54"/>
    <w:rsid w:val="00E520FE"/>
    <w:rsid w:val="00E53641"/>
    <w:rsid w:val="00E53E05"/>
    <w:rsid w:val="00E5411A"/>
    <w:rsid w:val="00E54633"/>
    <w:rsid w:val="00E55C77"/>
    <w:rsid w:val="00E56896"/>
    <w:rsid w:val="00E56911"/>
    <w:rsid w:val="00E575DE"/>
    <w:rsid w:val="00E57A00"/>
    <w:rsid w:val="00E57BD3"/>
    <w:rsid w:val="00E60603"/>
    <w:rsid w:val="00E60D5B"/>
    <w:rsid w:val="00E6105D"/>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4D9E"/>
    <w:rsid w:val="00E758D3"/>
    <w:rsid w:val="00E765AC"/>
    <w:rsid w:val="00E7724C"/>
    <w:rsid w:val="00E77699"/>
    <w:rsid w:val="00E800E3"/>
    <w:rsid w:val="00E80AC5"/>
    <w:rsid w:val="00E82BFA"/>
    <w:rsid w:val="00E82D5C"/>
    <w:rsid w:val="00E84446"/>
    <w:rsid w:val="00E85847"/>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0A65"/>
    <w:rsid w:val="00EA11D4"/>
    <w:rsid w:val="00EA1B3C"/>
    <w:rsid w:val="00EA1CF7"/>
    <w:rsid w:val="00EA37AA"/>
    <w:rsid w:val="00EA4936"/>
    <w:rsid w:val="00EA5329"/>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0B72"/>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085"/>
    <w:rsid w:val="00F05AF4"/>
    <w:rsid w:val="00F065D6"/>
    <w:rsid w:val="00F07C7A"/>
    <w:rsid w:val="00F1040A"/>
    <w:rsid w:val="00F11344"/>
    <w:rsid w:val="00F12579"/>
    <w:rsid w:val="00F12CF1"/>
    <w:rsid w:val="00F130BC"/>
    <w:rsid w:val="00F13819"/>
    <w:rsid w:val="00F13EFD"/>
    <w:rsid w:val="00F14F3E"/>
    <w:rsid w:val="00F15655"/>
    <w:rsid w:val="00F15DB0"/>
    <w:rsid w:val="00F2004B"/>
    <w:rsid w:val="00F20098"/>
    <w:rsid w:val="00F206E8"/>
    <w:rsid w:val="00F209D9"/>
    <w:rsid w:val="00F21610"/>
    <w:rsid w:val="00F2176F"/>
    <w:rsid w:val="00F24B2E"/>
    <w:rsid w:val="00F25C2B"/>
    <w:rsid w:val="00F25C9C"/>
    <w:rsid w:val="00F266D3"/>
    <w:rsid w:val="00F2674C"/>
    <w:rsid w:val="00F26E98"/>
    <w:rsid w:val="00F2751F"/>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67A08"/>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3EE"/>
    <w:rsid w:val="00F9363F"/>
    <w:rsid w:val="00F95B2D"/>
    <w:rsid w:val="00F961C6"/>
    <w:rsid w:val="00FA03DF"/>
    <w:rsid w:val="00FA05D9"/>
    <w:rsid w:val="00FA0F0C"/>
    <w:rsid w:val="00FA15E5"/>
    <w:rsid w:val="00FA20CE"/>
    <w:rsid w:val="00FA22E6"/>
    <w:rsid w:val="00FA25BC"/>
    <w:rsid w:val="00FA3B20"/>
    <w:rsid w:val="00FA537A"/>
    <w:rsid w:val="00FB00DD"/>
    <w:rsid w:val="00FB0ABE"/>
    <w:rsid w:val="00FB10BA"/>
    <w:rsid w:val="00FB146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51A5"/>
    <w:rsid w:val="00FD5331"/>
    <w:rsid w:val="00FD545A"/>
    <w:rsid w:val="00FD55A6"/>
    <w:rsid w:val="00FD5E57"/>
    <w:rsid w:val="00FD5F45"/>
    <w:rsid w:val="00FD61EC"/>
    <w:rsid w:val="00FD67DF"/>
    <w:rsid w:val="00FD6CF3"/>
    <w:rsid w:val="00FD7C03"/>
    <w:rsid w:val="00FE061B"/>
    <w:rsid w:val="00FE0A10"/>
    <w:rsid w:val="00FE5470"/>
    <w:rsid w:val="00FE5940"/>
    <w:rsid w:val="00FE5DEC"/>
    <w:rsid w:val="00FE6E66"/>
    <w:rsid w:val="00FE72C9"/>
    <w:rsid w:val="00FE764A"/>
    <w:rsid w:val="00FE7B78"/>
    <w:rsid w:val="00FF069C"/>
    <w:rsid w:val="00FF1397"/>
    <w:rsid w:val="00FF26D8"/>
    <w:rsid w:val="00FF2CE0"/>
    <w:rsid w:val="00FF707A"/>
    <w:rsid w:val="00FF7EFE"/>
    <w:rsid w:val="03B53E77"/>
    <w:rsid w:val="048EF7E0"/>
    <w:rsid w:val="07BD0944"/>
    <w:rsid w:val="08E449C7"/>
    <w:rsid w:val="08E5111D"/>
    <w:rsid w:val="0AA8C427"/>
    <w:rsid w:val="0AD653ED"/>
    <w:rsid w:val="0D34AC77"/>
    <w:rsid w:val="12A8C0F6"/>
    <w:rsid w:val="167EE332"/>
    <w:rsid w:val="198CDBB2"/>
    <w:rsid w:val="1A762895"/>
    <w:rsid w:val="1CF22C42"/>
    <w:rsid w:val="1F2A73CC"/>
    <w:rsid w:val="2826F3D3"/>
    <w:rsid w:val="2C413F66"/>
    <w:rsid w:val="2E39F05B"/>
    <w:rsid w:val="2E73B474"/>
    <w:rsid w:val="30A2401F"/>
    <w:rsid w:val="31412E31"/>
    <w:rsid w:val="319F84E2"/>
    <w:rsid w:val="3465933E"/>
    <w:rsid w:val="395D1432"/>
    <w:rsid w:val="39B044FF"/>
    <w:rsid w:val="3C2FEE50"/>
    <w:rsid w:val="41170B7A"/>
    <w:rsid w:val="41D8BBDF"/>
    <w:rsid w:val="43F16BE3"/>
    <w:rsid w:val="449DBFED"/>
    <w:rsid w:val="452F0815"/>
    <w:rsid w:val="45DB7369"/>
    <w:rsid w:val="462AC345"/>
    <w:rsid w:val="46CAE98B"/>
    <w:rsid w:val="4CB92CB7"/>
    <w:rsid w:val="4FF0CD79"/>
    <w:rsid w:val="517B0437"/>
    <w:rsid w:val="5302CF1F"/>
    <w:rsid w:val="546FF659"/>
    <w:rsid w:val="55D64DF0"/>
    <w:rsid w:val="58837A2F"/>
    <w:rsid w:val="59254407"/>
    <w:rsid w:val="5E0C3D9E"/>
    <w:rsid w:val="61C171D9"/>
    <w:rsid w:val="6351BA59"/>
    <w:rsid w:val="63AE5B67"/>
    <w:rsid w:val="6462FE41"/>
    <w:rsid w:val="6681A8F1"/>
    <w:rsid w:val="670C07A1"/>
    <w:rsid w:val="6A7F5252"/>
    <w:rsid w:val="6E52E8F4"/>
    <w:rsid w:val="70CE0719"/>
    <w:rsid w:val="73CD7BD3"/>
    <w:rsid w:val="7A2BA755"/>
    <w:rsid w:val="7A454F62"/>
    <w:rsid w:val="7BDF16CB"/>
    <w:rsid w:val="7F85DB5E"/>
    <w:rsid w:val="7FE4A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48279DC9-936D-413F-A198-309AB0EA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nhideWhenUsed/>
    <w:qFormat/>
    <w:rsid w:val="00DE6D24"/>
    <w:rPr>
      <w:sz w:val="18"/>
      <w:szCs w:val="18"/>
    </w:rPr>
  </w:style>
  <w:style w:type="paragraph" w:styleId="Commentaire">
    <w:name w:val="annotation text"/>
    <w:basedOn w:val="Normal"/>
    <w:link w:val="CommentaireCar"/>
    <w:unhideWhenUsed/>
    <w:qFormat/>
    <w:rsid w:val="00DE6D24"/>
    <w:pPr>
      <w:spacing w:line="240" w:lineRule="auto"/>
    </w:pPr>
    <w:rPr>
      <w:sz w:val="24"/>
      <w:szCs w:val="24"/>
    </w:rPr>
  </w:style>
  <w:style w:type="character" w:customStyle="1" w:styleId="CommentaireCar">
    <w:name w:val="Commentaire Car"/>
    <w:basedOn w:val="Policepardfaut"/>
    <w:link w:val="Commentaire"/>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clear" w:pos="851"/>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9"/>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0"/>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3"/>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 w:type="character" w:customStyle="1" w:styleId="05ARTICLENiv1-SsTitreCar">
    <w:name w:val="05_ARTICLE_Niv1 - SsTitre Car"/>
    <w:rsid w:val="00E51F54"/>
    <w:rPr>
      <w:rFonts w:ascii="Arial" w:hAnsi="Arial"/>
      <w:b/>
      <w:noProof/>
      <w:color w:val="BF3F00"/>
      <w:spacing w:val="-10"/>
      <w:sz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C96534"/>
    <w:rPr>
      <w:rFonts w:eastAsia="Times New Roman" w:cs="Times New Roman"/>
      <w:bCs/>
      <w:color w:val="993300"/>
      <w:szCs w:val="20"/>
      <w:lang w:eastAsia="fr-FR"/>
    </w:rPr>
  </w:style>
  <w:style w:type="character" w:customStyle="1" w:styleId="Style05ARTICLENiv1-SsTitreAutomatiqueToutenmajusculeCar">
    <w:name w:val="Style 05_ARTICLE_Niv1 - SsTitre + Automatique Tout en majuscule Car"/>
    <w:link w:val="Style05ARTICLENiv1-SsTitreAutomatiqueToutenmajuscule"/>
    <w:rsid w:val="00C96534"/>
    <w:rPr>
      <w:rFonts w:ascii="Arial" w:eastAsia="Times New Roman" w:hAnsi="Arial" w:cs="Times New Roman"/>
      <w:b/>
      <w:bCs/>
      <w:noProof/>
      <w:color w:val="993300"/>
      <w:spacing w:val="-10"/>
      <w:szCs w:val="20"/>
      <w:lang w:eastAsia="fr-FR"/>
    </w:rPr>
  </w:style>
  <w:style w:type="paragraph" w:customStyle="1" w:styleId="p1">
    <w:name w:val="p1"/>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2">
    <w:name w:val="p2"/>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1">
    <w:name w:val="s1"/>
    <w:basedOn w:val="Policepardfaut"/>
    <w:rsid w:val="00DB2D45"/>
  </w:style>
  <w:style w:type="paragraph" w:customStyle="1" w:styleId="p5">
    <w:name w:val="p5"/>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8244">
      <w:bodyDiv w:val="1"/>
      <w:marLeft w:val="0"/>
      <w:marRight w:val="0"/>
      <w:marTop w:val="0"/>
      <w:marBottom w:val="0"/>
      <w:divBdr>
        <w:top w:val="none" w:sz="0" w:space="0" w:color="auto"/>
        <w:left w:val="none" w:sz="0" w:space="0" w:color="auto"/>
        <w:bottom w:val="none" w:sz="0" w:space="0" w:color="auto"/>
        <w:right w:val="none" w:sz="0" w:space="0" w:color="auto"/>
      </w:divBdr>
    </w:div>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63908640">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85944037">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49203791">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11307241">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2039538">
      <w:bodyDiv w:val="1"/>
      <w:marLeft w:val="0"/>
      <w:marRight w:val="0"/>
      <w:marTop w:val="0"/>
      <w:marBottom w:val="0"/>
      <w:divBdr>
        <w:top w:val="none" w:sz="0" w:space="0" w:color="auto"/>
        <w:left w:val="none" w:sz="0" w:space="0" w:color="auto"/>
        <w:bottom w:val="none" w:sz="0" w:space="0" w:color="auto"/>
        <w:right w:val="none" w:sz="0" w:space="0" w:color="auto"/>
      </w:divBdr>
    </w:div>
    <w:div w:id="1822846658">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61954769">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27708201">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32&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45FA437D71AB1419E85975EB4385CCD" ma:contentTypeVersion="15" ma:contentTypeDescription="Create a new document." ma:contentTypeScope="" ma:versionID="2a6fd4a5902f71e832db050cceb06543">
  <xsd:schema xmlns:xsd="http://www.w3.org/2001/XMLSchema" xmlns:xs="http://www.w3.org/2001/XMLSchema" xmlns:p="http://schemas.microsoft.com/office/2006/metadata/properties" xmlns:ns3="4f85fec1-b9e8-4dbf-a6c4-f49cd8e5a0f5" xmlns:ns4="5a3ce21d-a9a2-4d30-b819-1fcce8518299" targetNamespace="http://schemas.microsoft.com/office/2006/metadata/properties" ma:root="true" ma:fieldsID="da443ce6dd8dcf8df30e80669fe5fdd2" ns3:_="" ns4:_="">
    <xsd:import namespace="4f85fec1-b9e8-4dbf-a6c4-f49cd8e5a0f5"/>
    <xsd:import namespace="5a3ce21d-a9a2-4d30-b819-1fcce8518299"/>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5fec1-b9e8-4dbf-a6c4-f49cd8e5a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ce21d-a9a2-4d30-b819-1fcce851829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f85fec1-b9e8-4dbf-a6c4-f49cd8e5a0f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2.xml><?xml version="1.0" encoding="utf-8"?>
<ds:datastoreItem xmlns:ds="http://schemas.openxmlformats.org/officeDocument/2006/customXml" ds:itemID="{516AF149-C11C-457D-981D-693A65CA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5fec1-b9e8-4dbf-a6c4-f49cd8e5a0f5"/>
    <ds:schemaRef ds:uri="5a3ce21d-a9a2-4d30-b819-1fcce85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DC1A14-87B0-44C8-AC05-2657F9F4B9FE}">
  <ds:schemaRefs>
    <ds:schemaRef ds:uri="http://schemas.microsoft.com/office/2006/metadata/properties"/>
    <ds:schemaRef ds:uri="http://schemas.microsoft.com/office/infopath/2007/PartnerControls"/>
    <ds:schemaRef ds:uri="4f85fec1-b9e8-4dbf-a6c4-f49cd8e5a0f5"/>
  </ds:schemaRefs>
</ds:datastoreItem>
</file>

<file path=customXml/itemProps4.xml><?xml version="1.0" encoding="utf-8"?>
<ds:datastoreItem xmlns:ds="http://schemas.openxmlformats.org/officeDocument/2006/customXml" ds:itemID="{5C6B67FF-08D2-4F42-AFAF-6337A276D7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15409</Words>
  <Characters>84750</Characters>
  <Application>Microsoft Office Word</Application>
  <DocSecurity>0</DocSecurity>
  <Lines>706</Lines>
  <Paragraphs>199</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99960</CharactersWithSpaces>
  <SharedDoc>false</SharedDoc>
  <HLinks>
    <vt:vector size="468" baseType="variant">
      <vt:variant>
        <vt:i4>4456541</vt:i4>
      </vt:variant>
      <vt:variant>
        <vt:i4>459</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2687031</vt:i4>
      </vt:variant>
      <vt:variant>
        <vt:i4>456</vt:i4>
      </vt:variant>
      <vt:variant>
        <vt:i4>0</vt:i4>
      </vt:variant>
      <vt:variant>
        <vt:i4>5</vt:i4>
      </vt:variant>
      <vt:variant>
        <vt:lpwstr>https://chorus-pro.gouv.fr/</vt:lpwstr>
      </vt:variant>
      <vt:variant>
        <vt:lpwstr/>
      </vt:variant>
      <vt:variant>
        <vt:i4>7667815</vt:i4>
      </vt:variant>
      <vt:variant>
        <vt:i4>453</vt:i4>
      </vt:variant>
      <vt:variant>
        <vt:i4>0</vt:i4>
      </vt:variant>
      <vt:variant>
        <vt:i4>5</vt:i4>
      </vt:variant>
      <vt:variant>
        <vt:lpwstr>http://www.economie.gouv.fr/daj/formulaires</vt:lpwstr>
      </vt:variant>
      <vt:variant>
        <vt:lpwstr/>
      </vt:variant>
      <vt:variant>
        <vt:i4>1507388</vt:i4>
      </vt:variant>
      <vt:variant>
        <vt:i4>446</vt:i4>
      </vt:variant>
      <vt:variant>
        <vt:i4>0</vt:i4>
      </vt:variant>
      <vt:variant>
        <vt:i4>5</vt:i4>
      </vt:variant>
      <vt:variant>
        <vt:lpwstr/>
      </vt:variant>
      <vt:variant>
        <vt:lpwstr>_Toc214899309</vt:lpwstr>
      </vt:variant>
      <vt:variant>
        <vt:i4>1507388</vt:i4>
      </vt:variant>
      <vt:variant>
        <vt:i4>440</vt:i4>
      </vt:variant>
      <vt:variant>
        <vt:i4>0</vt:i4>
      </vt:variant>
      <vt:variant>
        <vt:i4>5</vt:i4>
      </vt:variant>
      <vt:variant>
        <vt:lpwstr/>
      </vt:variant>
      <vt:variant>
        <vt:lpwstr>_Toc214899308</vt:lpwstr>
      </vt:variant>
      <vt:variant>
        <vt:i4>1507388</vt:i4>
      </vt:variant>
      <vt:variant>
        <vt:i4>434</vt:i4>
      </vt:variant>
      <vt:variant>
        <vt:i4>0</vt:i4>
      </vt:variant>
      <vt:variant>
        <vt:i4>5</vt:i4>
      </vt:variant>
      <vt:variant>
        <vt:lpwstr/>
      </vt:variant>
      <vt:variant>
        <vt:lpwstr>_Toc214899307</vt:lpwstr>
      </vt:variant>
      <vt:variant>
        <vt:i4>1507388</vt:i4>
      </vt:variant>
      <vt:variant>
        <vt:i4>428</vt:i4>
      </vt:variant>
      <vt:variant>
        <vt:i4>0</vt:i4>
      </vt:variant>
      <vt:variant>
        <vt:i4>5</vt:i4>
      </vt:variant>
      <vt:variant>
        <vt:lpwstr/>
      </vt:variant>
      <vt:variant>
        <vt:lpwstr>_Toc214899306</vt:lpwstr>
      </vt:variant>
      <vt:variant>
        <vt:i4>1507388</vt:i4>
      </vt:variant>
      <vt:variant>
        <vt:i4>422</vt:i4>
      </vt:variant>
      <vt:variant>
        <vt:i4>0</vt:i4>
      </vt:variant>
      <vt:variant>
        <vt:i4>5</vt:i4>
      </vt:variant>
      <vt:variant>
        <vt:lpwstr/>
      </vt:variant>
      <vt:variant>
        <vt:lpwstr>_Toc214899305</vt:lpwstr>
      </vt:variant>
      <vt:variant>
        <vt:i4>1507388</vt:i4>
      </vt:variant>
      <vt:variant>
        <vt:i4>416</vt:i4>
      </vt:variant>
      <vt:variant>
        <vt:i4>0</vt:i4>
      </vt:variant>
      <vt:variant>
        <vt:i4>5</vt:i4>
      </vt:variant>
      <vt:variant>
        <vt:lpwstr/>
      </vt:variant>
      <vt:variant>
        <vt:lpwstr>_Toc214899304</vt:lpwstr>
      </vt:variant>
      <vt:variant>
        <vt:i4>1507388</vt:i4>
      </vt:variant>
      <vt:variant>
        <vt:i4>410</vt:i4>
      </vt:variant>
      <vt:variant>
        <vt:i4>0</vt:i4>
      </vt:variant>
      <vt:variant>
        <vt:i4>5</vt:i4>
      </vt:variant>
      <vt:variant>
        <vt:lpwstr/>
      </vt:variant>
      <vt:variant>
        <vt:lpwstr>_Toc214899303</vt:lpwstr>
      </vt:variant>
      <vt:variant>
        <vt:i4>1507388</vt:i4>
      </vt:variant>
      <vt:variant>
        <vt:i4>404</vt:i4>
      </vt:variant>
      <vt:variant>
        <vt:i4>0</vt:i4>
      </vt:variant>
      <vt:variant>
        <vt:i4>5</vt:i4>
      </vt:variant>
      <vt:variant>
        <vt:lpwstr/>
      </vt:variant>
      <vt:variant>
        <vt:lpwstr>_Toc214899302</vt:lpwstr>
      </vt:variant>
      <vt:variant>
        <vt:i4>1507388</vt:i4>
      </vt:variant>
      <vt:variant>
        <vt:i4>398</vt:i4>
      </vt:variant>
      <vt:variant>
        <vt:i4>0</vt:i4>
      </vt:variant>
      <vt:variant>
        <vt:i4>5</vt:i4>
      </vt:variant>
      <vt:variant>
        <vt:lpwstr/>
      </vt:variant>
      <vt:variant>
        <vt:lpwstr>_Toc214899301</vt:lpwstr>
      </vt:variant>
      <vt:variant>
        <vt:i4>1507388</vt:i4>
      </vt:variant>
      <vt:variant>
        <vt:i4>392</vt:i4>
      </vt:variant>
      <vt:variant>
        <vt:i4>0</vt:i4>
      </vt:variant>
      <vt:variant>
        <vt:i4>5</vt:i4>
      </vt:variant>
      <vt:variant>
        <vt:lpwstr/>
      </vt:variant>
      <vt:variant>
        <vt:lpwstr>_Toc214899300</vt:lpwstr>
      </vt:variant>
      <vt:variant>
        <vt:i4>1966141</vt:i4>
      </vt:variant>
      <vt:variant>
        <vt:i4>386</vt:i4>
      </vt:variant>
      <vt:variant>
        <vt:i4>0</vt:i4>
      </vt:variant>
      <vt:variant>
        <vt:i4>5</vt:i4>
      </vt:variant>
      <vt:variant>
        <vt:lpwstr/>
      </vt:variant>
      <vt:variant>
        <vt:lpwstr>_Toc214899299</vt:lpwstr>
      </vt:variant>
      <vt:variant>
        <vt:i4>1966141</vt:i4>
      </vt:variant>
      <vt:variant>
        <vt:i4>380</vt:i4>
      </vt:variant>
      <vt:variant>
        <vt:i4>0</vt:i4>
      </vt:variant>
      <vt:variant>
        <vt:i4>5</vt:i4>
      </vt:variant>
      <vt:variant>
        <vt:lpwstr/>
      </vt:variant>
      <vt:variant>
        <vt:lpwstr>_Toc214899298</vt:lpwstr>
      </vt:variant>
      <vt:variant>
        <vt:i4>1966141</vt:i4>
      </vt:variant>
      <vt:variant>
        <vt:i4>374</vt:i4>
      </vt:variant>
      <vt:variant>
        <vt:i4>0</vt:i4>
      </vt:variant>
      <vt:variant>
        <vt:i4>5</vt:i4>
      </vt:variant>
      <vt:variant>
        <vt:lpwstr/>
      </vt:variant>
      <vt:variant>
        <vt:lpwstr>_Toc214899297</vt:lpwstr>
      </vt:variant>
      <vt:variant>
        <vt:i4>1966141</vt:i4>
      </vt:variant>
      <vt:variant>
        <vt:i4>368</vt:i4>
      </vt:variant>
      <vt:variant>
        <vt:i4>0</vt:i4>
      </vt:variant>
      <vt:variant>
        <vt:i4>5</vt:i4>
      </vt:variant>
      <vt:variant>
        <vt:lpwstr/>
      </vt:variant>
      <vt:variant>
        <vt:lpwstr>_Toc214899296</vt:lpwstr>
      </vt:variant>
      <vt:variant>
        <vt:i4>1966141</vt:i4>
      </vt:variant>
      <vt:variant>
        <vt:i4>362</vt:i4>
      </vt:variant>
      <vt:variant>
        <vt:i4>0</vt:i4>
      </vt:variant>
      <vt:variant>
        <vt:i4>5</vt:i4>
      </vt:variant>
      <vt:variant>
        <vt:lpwstr/>
      </vt:variant>
      <vt:variant>
        <vt:lpwstr>_Toc214899295</vt:lpwstr>
      </vt:variant>
      <vt:variant>
        <vt:i4>1966141</vt:i4>
      </vt:variant>
      <vt:variant>
        <vt:i4>356</vt:i4>
      </vt:variant>
      <vt:variant>
        <vt:i4>0</vt:i4>
      </vt:variant>
      <vt:variant>
        <vt:i4>5</vt:i4>
      </vt:variant>
      <vt:variant>
        <vt:lpwstr/>
      </vt:variant>
      <vt:variant>
        <vt:lpwstr>_Toc214899294</vt:lpwstr>
      </vt:variant>
      <vt:variant>
        <vt:i4>1966141</vt:i4>
      </vt:variant>
      <vt:variant>
        <vt:i4>350</vt:i4>
      </vt:variant>
      <vt:variant>
        <vt:i4>0</vt:i4>
      </vt:variant>
      <vt:variant>
        <vt:i4>5</vt:i4>
      </vt:variant>
      <vt:variant>
        <vt:lpwstr/>
      </vt:variant>
      <vt:variant>
        <vt:lpwstr>_Toc214899293</vt:lpwstr>
      </vt:variant>
      <vt:variant>
        <vt:i4>1966141</vt:i4>
      </vt:variant>
      <vt:variant>
        <vt:i4>344</vt:i4>
      </vt:variant>
      <vt:variant>
        <vt:i4>0</vt:i4>
      </vt:variant>
      <vt:variant>
        <vt:i4>5</vt:i4>
      </vt:variant>
      <vt:variant>
        <vt:lpwstr/>
      </vt:variant>
      <vt:variant>
        <vt:lpwstr>_Toc214899292</vt:lpwstr>
      </vt:variant>
      <vt:variant>
        <vt:i4>1966141</vt:i4>
      </vt:variant>
      <vt:variant>
        <vt:i4>338</vt:i4>
      </vt:variant>
      <vt:variant>
        <vt:i4>0</vt:i4>
      </vt:variant>
      <vt:variant>
        <vt:i4>5</vt:i4>
      </vt:variant>
      <vt:variant>
        <vt:lpwstr/>
      </vt:variant>
      <vt:variant>
        <vt:lpwstr>_Toc214899291</vt:lpwstr>
      </vt:variant>
      <vt:variant>
        <vt:i4>1966141</vt:i4>
      </vt:variant>
      <vt:variant>
        <vt:i4>332</vt:i4>
      </vt:variant>
      <vt:variant>
        <vt:i4>0</vt:i4>
      </vt:variant>
      <vt:variant>
        <vt:i4>5</vt:i4>
      </vt:variant>
      <vt:variant>
        <vt:lpwstr/>
      </vt:variant>
      <vt:variant>
        <vt:lpwstr>_Toc214899290</vt:lpwstr>
      </vt:variant>
      <vt:variant>
        <vt:i4>2031677</vt:i4>
      </vt:variant>
      <vt:variant>
        <vt:i4>326</vt:i4>
      </vt:variant>
      <vt:variant>
        <vt:i4>0</vt:i4>
      </vt:variant>
      <vt:variant>
        <vt:i4>5</vt:i4>
      </vt:variant>
      <vt:variant>
        <vt:lpwstr/>
      </vt:variant>
      <vt:variant>
        <vt:lpwstr>_Toc214899289</vt:lpwstr>
      </vt:variant>
      <vt:variant>
        <vt:i4>2031677</vt:i4>
      </vt:variant>
      <vt:variant>
        <vt:i4>320</vt:i4>
      </vt:variant>
      <vt:variant>
        <vt:i4>0</vt:i4>
      </vt:variant>
      <vt:variant>
        <vt:i4>5</vt:i4>
      </vt:variant>
      <vt:variant>
        <vt:lpwstr/>
      </vt:variant>
      <vt:variant>
        <vt:lpwstr>_Toc214899288</vt:lpwstr>
      </vt:variant>
      <vt:variant>
        <vt:i4>2031677</vt:i4>
      </vt:variant>
      <vt:variant>
        <vt:i4>314</vt:i4>
      </vt:variant>
      <vt:variant>
        <vt:i4>0</vt:i4>
      </vt:variant>
      <vt:variant>
        <vt:i4>5</vt:i4>
      </vt:variant>
      <vt:variant>
        <vt:lpwstr/>
      </vt:variant>
      <vt:variant>
        <vt:lpwstr>_Toc214899287</vt:lpwstr>
      </vt:variant>
      <vt:variant>
        <vt:i4>2031677</vt:i4>
      </vt:variant>
      <vt:variant>
        <vt:i4>308</vt:i4>
      </vt:variant>
      <vt:variant>
        <vt:i4>0</vt:i4>
      </vt:variant>
      <vt:variant>
        <vt:i4>5</vt:i4>
      </vt:variant>
      <vt:variant>
        <vt:lpwstr/>
      </vt:variant>
      <vt:variant>
        <vt:lpwstr>_Toc214899286</vt:lpwstr>
      </vt:variant>
      <vt:variant>
        <vt:i4>2031677</vt:i4>
      </vt:variant>
      <vt:variant>
        <vt:i4>302</vt:i4>
      </vt:variant>
      <vt:variant>
        <vt:i4>0</vt:i4>
      </vt:variant>
      <vt:variant>
        <vt:i4>5</vt:i4>
      </vt:variant>
      <vt:variant>
        <vt:lpwstr/>
      </vt:variant>
      <vt:variant>
        <vt:lpwstr>_Toc214899285</vt:lpwstr>
      </vt:variant>
      <vt:variant>
        <vt:i4>2031677</vt:i4>
      </vt:variant>
      <vt:variant>
        <vt:i4>296</vt:i4>
      </vt:variant>
      <vt:variant>
        <vt:i4>0</vt:i4>
      </vt:variant>
      <vt:variant>
        <vt:i4>5</vt:i4>
      </vt:variant>
      <vt:variant>
        <vt:lpwstr/>
      </vt:variant>
      <vt:variant>
        <vt:lpwstr>_Toc214899284</vt:lpwstr>
      </vt:variant>
      <vt:variant>
        <vt:i4>2031677</vt:i4>
      </vt:variant>
      <vt:variant>
        <vt:i4>290</vt:i4>
      </vt:variant>
      <vt:variant>
        <vt:i4>0</vt:i4>
      </vt:variant>
      <vt:variant>
        <vt:i4>5</vt:i4>
      </vt:variant>
      <vt:variant>
        <vt:lpwstr/>
      </vt:variant>
      <vt:variant>
        <vt:lpwstr>_Toc214899283</vt:lpwstr>
      </vt:variant>
      <vt:variant>
        <vt:i4>2031677</vt:i4>
      </vt:variant>
      <vt:variant>
        <vt:i4>284</vt:i4>
      </vt:variant>
      <vt:variant>
        <vt:i4>0</vt:i4>
      </vt:variant>
      <vt:variant>
        <vt:i4>5</vt:i4>
      </vt:variant>
      <vt:variant>
        <vt:lpwstr/>
      </vt:variant>
      <vt:variant>
        <vt:lpwstr>_Toc214899282</vt:lpwstr>
      </vt:variant>
      <vt:variant>
        <vt:i4>2031677</vt:i4>
      </vt:variant>
      <vt:variant>
        <vt:i4>278</vt:i4>
      </vt:variant>
      <vt:variant>
        <vt:i4>0</vt:i4>
      </vt:variant>
      <vt:variant>
        <vt:i4>5</vt:i4>
      </vt:variant>
      <vt:variant>
        <vt:lpwstr/>
      </vt:variant>
      <vt:variant>
        <vt:lpwstr>_Toc214899281</vt:lpwstr>
      </vt:variant>
      <vt:variant>
        <vt:i4>2031677</vt:i4>
      </vt:variant>
      <vt:variant>
        <vt:i4>272</vt:i4>
      </vt:variant>
      <vt:variant>
        <vt:i4>0</vt:i4>
      </vt:variant>
      <vt:variant>
        <vt:i4>5</vt:i4>
      </vt:variant>
      <vt:variant>
        <vt:lpwstr/>
      </vt:variant>
      <vt:variant>
        <vt:lpwstr>_Toc214899280</vt:lpwstr>
      </vt:variant>
      <vt:variant>
        <vt:i4>1048637</vt:i4>
      </vt:variant>
      <vt:variant>
        <vt:i4>266</vt:i4>
      </vt:variant>
      <vt:variant>
        <vt:i4>0</vt:i4>
      </vt:variant>
      <vt:variant>
        <vt:i4>5</vt:i4>
      </vt:variant>
      <vt:variant>
        <vt:lpwstr/>
      </vt:variant>
      <vt:variant>
        <vt:lpwstr>_Toc214899279</vt:lpwstr>
      </vt:variant>
      <vt:variant>
        <vt:i4>1048637</vt:i4>
      </vt:variant>
      <vt:variant>
        <vt:i4>260</vt:i4>
      </vt:variant>
      <vt:variant>
        <vt:i4>0</vt:i4>
      </vt:variant>
      <vt:variant>
        <vt:i4>5</vt:i4>
      </vt:variant>
      <vt:variant>
        <vt:lpwstr/>
      </vt:variant>
      <vt:variant>
        <vt:lpwstr>_Toc214899278</vt:lpwstr>
      </vt:variant>
      <vt:variant>
        <vt:i4>1048637</vt:i4>
      </vt:variant>
      <vt:variant>
        <vt:i4>254</vt:i4>
      </vt:variant>
      <vt:variant>
        <vt:i4>0</vt:i4>
      </vt:variant>
      <vt:variant>
        <vt:i4>5</vt:i4>
      </vt:variant>
      <vt:variant>
        <vt:lpwstr/>
      </vt:variant>
      <vt:variant>
        <vt:lpwstr>_Toc214899277</vt:lpwstr>
      </vt:variant>
      <vt:variant>
        <vt:i4>1048637</vt:i4>
      </vt:variant>
      <vt:variant>
        <vt:i4>248</vt:i4>
      </vt:variant>
      <vt:variant>
        <vt:i4>0</vt:i4>
      </vt:variant>
      <vt:variant>
        <vt:i4>5</vt:i4>
      </vt:variant>
      <vt:variant>
        <vt:lpwstr/>
      </vt:variant>
      <vt:variant>
        <vt:lpwstr>_Toc214899276</vt:lpwstr>
      </vt:variant>
      <vt:variant>
        <vt:i4>1048637</vt:i4>
      </vt:variant>
      <vt:variant>
        <vt:i4>242</vt:i4>
      </vt:variant>
      <vt:variant>
        <vt:i4>0</vt:i4>
      </vt:variant>
      <vt:variant>
        <vt:i4>5</vt:i4>
      </vt:variant>
      <vt:variant>
        <vt:lpwstr/>
      </vt:variant>
      <vt:variant>
        <vt:lpwstr>_Toc214899275</vt:lpwstr>
      </vt:variant>
      <vt:variant>
        <vt:i4>1048637</vt:i4>
      </vt:variant>
      <vt:variant>
        <vt:i4>236</vt:i4>
      </vt:variant>
      <vt:variant>
        <vt:i4>0</vt:i4>
      </vt:variant>
      <vt:variant>
        <vt:i4>5</vt:i4>
      </vt:variant>
      <vt:variant>
        <vt:lpwstr/>
      </vt:variant>
      <vt:variant>
        <vt:lpwstr>_Toc214899274</vt:lpwstr>
      </vt:variant>
      <vt:variant>
        <vt:i4>1048637</vt:i4>
      </vt:variant>
      <vt:variant>
        <vt:i4>230</vt:i4>
      </vt:variant>
      <vt:variant>
        <vt:i4>0</vt:i4>
      </vt:variant>
      <vt:variant>
        <vt:i4>5</vt:i4>
      </vt:variant>
      <vt:variant>
        <vt:lpwstr/>
      </vt:variant>
      <vt:variant>
        <vt:lpwstr>_Toc214899273</vt:lpwstr>
      </vt:variant>
      <vt:variant>
        <vt:i4>1048637</vt:i4>
      </vt:variant>
      <vt:variant>
        <vt:i4>224</vt:i4>
      </vt:variant>
      <vt:variant>
        <vt:i4>0</vt:i4>
      </vt:variant>
      <vt:variant>
        <vt:i4>5</vt:i4>
      </vt:variant>
      <vt:variant>
        <vt:lpwstr/>
      </vt:variant>
      <vt:variant>
        <vt:lpwstr>_Toc214899272</vt:lpwstr>
      </vt:variant>
      <vt:variant>
        <vt:i4>1048637</vt:i4>
      </vt:variant>
      <vt:variant>
        <vt:i4>218</vt:i4>
      </vt:variant>
      <vt:variant>
        <vt:i4>0</vt:i4>
      </vt:variant>
      <vt:variant>
        <vt:i4>5</vt:i4>
      </vt:variant>
      <vt:variant>
        <vt:lpwstr/>
      </vt:variant>
      <vt:variant>
        <vt:lpwstr>_Toc214899271</vt:lpwstr>
      </vt:variant>
      <vt:variant>
        <vt:i4>1048637</vt:i4>
      </vt:variant>
      <vt:variant>
        <vt:i4>212</vt:i4>
      </vt:variant>
      <vt:variant>
        <vt:i4>0</vt:i4>
      </vt:variant>
      <vt:variant>
        <vt:i4>5</vt:i4>
      </vt:variant>
      <vt:variant>
        <vt:lpwstr/>
      </vt:variant>
      <vt:variant>
        <vt:lpwstr>_Toc214899270</vt:lpwstr>
      </vt:variant>
      <vt:variant>
        <vt:i4>1114173</vt:i4>
      </vt:variant>
      <vt:variant>
        <vt:i4>206</vt:i4>
      </vt:variant>
      <vt:variant>
        <vt:i4>0</vt:i4>
      </vt:variant>
      <vt:variant>
        <vt:i4>5</vt:i4>
      </vt:variant>
      <vt:variant>
        <vt:lpwstr/>
      </vt:variant>
      <vt:variant>
        <vt:lpwstr>_Toc214899269</vt:lpwstr>
      </vt:variant>
      <vt:variant>
        <vt:i4>1114173</vt:i4>
      </vt:variant>
      <vt:variant>
        <vt:i4>200</vt:i4>
      </vt:variant>
      <vt:variant>
        <vt:i4>0</vt:i4>
      </vt:variant>
      <vt:variant>
        <vt:i4>5</vt:i4>
      </vt:variant>
      <vt:variant>
        <vt:lpwstr/>
      </vt:variant>
      <vt:variant>
        <vt:lpwstr>_Toc214899268</vt:lpwstr>
      </vt:variant>
      <vt:variant>
        <vt:i4>1114173</vt:i4>
      </vt:variant>
      <vt:variant>
        <vt:i4>194</vt:i4>
      </vt:variant>
      <vt:variant>
        <vt:i4>0</vt:i4>
      </vt:variant>
      <vt:variant>
        <vt:i4>5</vt:i4>
      </vt:variant>
      <vt:variant>
        <vt:lpwstr/>
      </vt:variant>
      <vt:variant>
        <vt:lpwstr>_Toc214899267</vt:lpwstr>
      </vt:variant>
      <vt:variant>
        <vt:i4>1114173</vt:i4>
      </vt:variant>
      <vt:variant>
        <vt:i4>188</vt:i4>
      </vt:variant>
      <vt:variant>
        <vt:i4>0</vt:i4>
      </vt:variant>
      <vt:variant>
        <vt:i4>5</vt:i4>
      </vt:variant>
      <vt:variant>
        <vt:lpwstr/>
      </vt:variant>
      <vt:variant>
        <vt:lpwstr>_Toc214899266</vt:lpwstr>
      </vt:variant>
      <vt:variant>
        <vt:i4>1114173</vt:i4>
      </vt:variant>
      <vt:variant>
        <vt:i4>182</vt:i4>
      </vt:variant>
      <vt:variant>
        <vt:i4>0</vt:i4>
      </vt:variant>
      <vt:variant>
        <vt:i4>5</vt:i4>
      </vt:variant>
      <vt:variant>
        <vt:lpwstr/>
      </vt:variant>
      <vt:variant>
        <vt:lpwstr>_Toc214899265</vt:lpwstr>
      </vt:variant>
      <vt:variant>
        <vt:i4>1114173</vt:i4>
      </vt:variant>
      <vt:variant>
        <vt:i4>176</vt:i4>
      </vt:variant>
      <vt:variant>
        <vt:i4>0</vt:i4>
      </vt:variant>
      <vt:variant>
        <vt:i4>5</vt:i4>
      </vt:variant>
      <vt:variant>
        <vt:lpwstr/>
      </vt:variant>
      <vt:variant>
        <vt:lpwstr>_Toc214899264</vt:lpwstr>
      </vt:variant>
      <vt:variant>
        <vt:i4>1114173</vt:i4>
      </vt:variant>
      <vt:variant>
        <vt:i4>170</vt:i4>
      </vt:variant>
      <vt:variant>
        <vt:i4>0</vt:i4>
      </vt:variant>
      <vt:variant>
        <vt:i4>5</vt:i4>
      </vt:variant>
      <vt:variant>
        <vt:lpwstr/>
      </vt:variant>
      <vt:variant>
        <vt:lpwstr>_Toc214899263</vt:lpwstr>
      </vt:variant>
      <vt:variant>
        <vt:i4>1114173</vt:i4>
      </vt:variant>
      <vt:variant>
        <vt:i4>164</vt:i4>
      </vt:variant>
      <vt:variant>
        <vt:i4>0</vt:i4>
      </vt:variant>
      <vt:variant>
        <vt:i4>5</vt:i4>
      </vt:variant>
      <vt:variant>
        <vt:lpwstr/>
      </vt:variant>
      <vt:variant>
        <vt:lpwstr>_Toc214899262</vt:lpwstr>
      </vt:variant>
      <vt:variant>
        <vt:i4>1114173</vt:i4>
      </vt:variant>
      <vt:variant>
        <vt:i4>158</vt:i4>
      </vt:variant>
      <vt:variant>
        <vt:i4>0</vt:i4>
      </vt:variant>
      <vt:variant>
        <vt:i4>5</vt:i4>
      </vt:variant>
      <vt:variant>
        <vt:lpwstr/>
      </vt:variant>
      <vt:variant>
        <vt:lpwstr>_Toc214899261</vt:lpwstr>
      </vt:variant>
      <vt:variant>
        <vt:i4>1114173</vt:i4>
      </vt:variant>
      <vt:variant>
        <vt:i4>152</vt:i4>
      </vt:variant>
      <vt:variant>
        <vt:i4>0</vt:i4>
      </vt:variant>
      <vt:variant>
        <vt:i4>5</vt:i4>
      </vt:variant>
      <vt:variant>
        <vt:lpwstr/>
      </vt:variant>
      <vt:variant>
        <vt:lpwstr>_Toc214899260</vt:lpwstr>
      </vt:variant>
      <vt:variant>
        <vt:i4>1179709</vt:i4>
      </vt:variant>
      <vt:variant>
        <vt:i4>146</vt:i4>
      </vt:variant>
      <vt:variant>
        <vt:i4>0</vt:i4>
      </vt:variant>
      <vt:variant>
        <vt:i4>5</vt:i4>
      </vt:variant>
      <vt:variant>
        <vt:lpwstr/>
      </vt:variant>
      <vt:variant>
        <vt:lpwstr>_Toc214899259</vt:lpwstr>
      </vt:variant>
      <vt:variant>
        <vt:i4>1179709</vt:i4>
      </vt:variant>
      <vt:variant>
        <vt:i4>140</vt:i4>
      </vt:variant>
      <vt:variant>
        <vt:i4>0</vt:i4>
      </vt:variant>
      <vt:variant>
        <vt:i4>5</vt:i4>
      </vt:variant>
      <vt:variant>
        <vt:lpwstr/>
      </vt:variant>
      <vt:variant>
        <vt:lpwstr>_Toc214899258</vt:lpwstr>
      </vt:variant>
      <vt:variant>
        <vt:i4>1179709</vt:i4>
      </vt:variant>
      <vt:variant>
        <vt:i4>134</vt:i4>
      </vt:variant>
      <vt:variant>
        <vt:i4>0</vt:i4>
      </vt:variant>
      <vt:variant>
        <vt:i4>5</vt:i4>
      </vt:variant>
      <vt:variant>
        <vt:lpwstr/>
      </vt:variant>
      <vt:variant>
        <vt:lpwstr>_Toc214899257</vt:lpwstr>
      </vt:variant>
      <vt:variant>
        <vt:i4>1179709</vt:i4>
      </vt:variant>
      <vt:variant>
        <vt:i4>128</vt:i4>
      </vt:variant>
      <vt:variant>
        <vt:i4>0</vt:i4>
      </vt:variant>
      <vt:variant>
        <vt:i4>5</vt:i4>
      </vt:variant>
      <vt:variant>
        <vt:lpwstr/>
      </vt:variant>
      <vt:variant>
        <vt:lpwstr>_Toc214899256</vt:lpwstr>
      </vt:variant>
      <vt:variant>
        <vt:i4>1179709</vt:i4>
      </vt:variant>
      <vt:variant>
        <vt:i4>122</vt:i4>
      </vt:variant>
      <vt:variant>
        <vt:i4>0</vt:i4>
      </vt:variant>
      <vt:variant>
        <vt:i4>5</vt:i4>
      </vt:variant>
      <vt:variant>
        <vt:lpwstr/>
      </vt:variant>
      <vt:variant>
        <vt:lpwstr>_Toc214899255</vt:lpwstr>
      </vt:variant>
      <vt:variant>
        <vt:i4>1179709</vt:i4>
      </vt:variant>
      <vt:variant>
        <vt:i4>116</vt:i4>
      </vt:variant>
      <vt:variant>
        <vt:i4>0</vt:i4>
      </vt:variant>
      <vt:variant>
        <vt:i4>5</vt:i4>
      </vt:variant>
      <vt:variant>
        <vt:lpwstr/>
      </vt:variant>
      <vt:variant>
        <vt:lpwstr>_Toc214899254</vt:lpwstr>
      </vt:variant>
      <vt:variant>
        <vt:i4>1179709</vt:i4>
      </vt:variant>
      <vt:variant>
        <vt:i4>110</vt:i4>
      </vt:variant>
      <vt:variant>
        <vt:i4>0</vt:i4>
      </vt:variant>
      <vt:variant>
        <vt:i4>5</vt:i4>
      </vt:variant>
      <vt:variant>
        <vt:lpwstr/>
      </vt:variant>
      <vt:variant>
        <vt:lpwstr>_Toc214899253</vt:lpwstr>
      </vt:variant>
      <vt:variant>
        <vt:i4>1179709</vt:i4>
      </vt:variant>
      <vt:variant>
        <vt:i4>104</vt:i4>
      </vt:variant>
      <vt:variant>
        <vt:i4>0</vt:i4>
      </vt:variant>
      <vt:variant>
        <vt:i4>5</vt:i4>
      </vt:variant>
      <vt:variant>
        <vt:lpwstr/>
      </vt:variant>
      <vt:variant>
        <vt:lpwstr>_Toc214899252</vt:lpwstr>
      </vt:variant>
      <vt:variant>
        <vt:i4>1179709</vt:i4>
      </vt:variant>
      <vt:variant>
        <vt:i4>98</vt:i4>
      </vt:variant>
      <vt:variant>
        <vt:i4>0</vt:i4>
      </vt:variant>
      <vt:variant>
        <vt:i4>5</vt:i4>
      </vt:variant>
      <vt:variant>
        <vt:lpwstr/>
      </vt:variant>
      <vt:variant>
        <vt:lpwstr>_Toc214899251</vt:lpwstr>
      </vt:variant>
      <vt:variant>
        <vt:i4>1179709</vt:i4>
      </vt:variant>
      <vt:variant>
        <vt:i4>92</vt:i4>
      </vt:variant>
      <vt:variant>
        <vt:i4>0</vt:i4>
      </vt:variant>
      <vt:variant>
        <vt:i4>5</vt:i4>
      </vt:variant>
      <vt:variant>
        <vt:lpwstr/>
      </vt:variant>
      <vt:variant>
        <vt:lpwstr>_Toc214899250</vt:lpwstr>
      </vt:variant>
      <vt:variant>
        <vt:i4>1245245</vt:i4>
      </vt:variant>
      <vt:variant>
        <vt:i4>86</vt:i4>
      </vt:variant>
      <vt:variant>
        <vt:i4>0</vt:i4>
      </vt:variant>
      <vt:variant>
        <vt:i4>5</vt:i4>
      </vt:variant>
      <vt:variant>
        <vt:lpwstr/>
      </vt:variant>
      <vt:variant>
        <vt:lpwstr>_Toc214899249</vt:lpwstr>
      </vt:variant>
      <vt:variant>
        <vt:i4>1245245</vt:i4>
      </vt:variant>
      <vt:variant>
        <vt:i4>80</vt:i4>
      </vt:variant>
      <vt:variant>
        <vt:i4>0</vt:i4>
      </vt:variant>
      <vt:variant>
        <vt:i4>5</vt:i4>
      </vt:variant>
      <vt:variant>
        <vt:lpwstr/>
      </vt:variant>
      <vt:variant>
        <vt:lpwstr>_Toc214899248</vt:lpwstr>
      </vt:variant>
      <vt:variant>
        <vt:i4>1245245</vt:i4>
      </vt:variant>
      <vt:variant>
        <vt:i4>74</vt:i4>
      </vt:variant>
      <vt:variant>
        <vt:i4>0</vt:i4>
      </vt:variant>
      <vt:variant>
        <vt:i4>5</vt:i4>
      </vt:variant>
      <vt:variant>
        <vt:lpwstr/>
      </vt:variant>
      <vt:variant>
        <vt:lpwstr>_Toc214899247</vt:lpwstr>
      </vt:variant>
      <vt:variant>
        <vt:i4>1245245</vt:i4>
      </vt:variant>
      <vt:variant>
        <vt:i4>68</vt:i4>
      </vt:variant>
      <vt:variant>
        <vt:i4>0</vt:i4>
      </vt:variant>
      <vt:variant>
        <vt:i4>5</vt:i4>
      </vt:variant>
      <vt:variant>
        <vt:lpwstr/>
      </vt:variant>
      <vt:variant>
        <vt:lpwstr>_Toc214899246</vt:lpwstr>
      </vt:variant>
      <vt:variant>
        <vt:i4>1245245</vt:i4>
      </vt:variant>
      <vt:variant>
        <vt:i4>62</vt:i4>
      </vt:variant>
      <vt:variant>
        <vt:i4>0</vt:i4>
      </vt:variant>
      <vt:variant>
        <vt:i4>5</vt:i4>
      </vt:variant>
      <vt:variant>
        <vt:lpwstr/>
      </vt:variant>
      <vt:variant>
        <vt:lpwstr>_Toc214899245</vt:lpwstr>
      </vt:variant>
      <vt:variant>
        <vt:i4>1245245</vt:i4>
      </vt:variant>
      <vt:variant>
        <vt:i4>56</vt:i4>
      </vt:variant>
      <vt:variant>
        <vt:i4>0</vt:i4>
      </vt:variant>
      <vt:variant>
        <vt:i4>5</vt:i4>
      </vt:variant>
      <vt:variant>
        <vt:lpwstr/>
      </vt:variant>
      <vt:variant>
        <vt:lpwstr>_Toc214899244</vt:lpwstr>
      </vt:variant>
      <vt:variant>
        <vt:i4>1245245</vt:i4>
      </vt:variant>
      <vt:variant>
        <vt:i4>50</vt:i4>
      </vt:variant>
      <vt:variant>
        <vt:i4>0</vt:i4>
      </vt:variant>
      <vt:variant>
        <vt:i4>5</vt:i4>
      </vt:variant>
      <vt:variant>
        <vt:lpwstr/>
      </vt:variant>
      <vt:variant>
        <vt:lpwstr>_Toc214899243</vt:lpwstr>
      </vt:variant>
      <vt:variant>
        <vt:i4>1245245</vt:i4>
      </vt:variant>
      <vt:variant>
        <vt:i4>44</vt:i4>
      </vt:variant>
      <vt:variant>
        <vt:i4>0</vt:i4>
      </vt:variant>
      <vt:variant>
        <vt:i4>5</vt:i4>
      </vt:variant>
      <vt:variant>
        <vt:lpwstr/>
      </vt:variant>
      <vt:variant>
        <vt:lpwstr>_Toc214899242</vt:lpwstr>
      </vt:variant>
      <vt:variant>
        <vt:i4>1245245</vt:i4>
      </vt:variant>
      <vt:variant>
        <vt:i4>38</vt:i4>
      </vt:variant>
      <vt:variant>
        <vt:i4>0</vt:i4>
      </vt:variant>
      <vt:variant>
        <vt:i4>5</vt:i4>
      </vt:variant>
      <vt:variant>
        <vt:lpwstr/>
      </vt:variant>
      <vt:variant>
        <vt:lpwstr>_Toc214899241</vt:lpwstr>
      </vt:variant>
      <vt:variant>
        <vt:i4>1245245</vt:i4>
      </vt:variant>
      <vt:variant>
        <vt:i4>32</vt:i4>
      </vt:variant>
      <vt:variant>
        <vt:i4>0</vt:i4>
      </vt:variant>
      <vt:variant>
        <vt:i4>5</vt:i4>
      </vt:variant>
      <vt:variant>
        <vt:lpwstr/>
      </vt:variant>
      <vt:variant>
        <vt:lpwstr>_Toc214899240</vt:lpwstr>
      </vt:variant>
      <vt:variant>
        <vt:i4>1310781</vt:i4>
      </vt:variant>
      <vt:variant>
        <vt:i4>26</vt:i4>
      </vt:variant>
      <vt:variant>
        <vt:i4>0</vt:i4>
      </vt:variant>
      <vt:variant>
        <vt:i4>5</vt:i4>
      </vt:variant>
      <vt:variant>
        <vt:lpwstr/>
      </vt:variant>
      <vt:variant>
        <vt:lpwstr>_Toc214899239</vt:lpwstr>
      </vt:variant>
      <vt:variant>
        <vt:i4>1310781</vt:i4>
      </vt:variant>
      <vt:variant>
        <vt:i4>20</vt:i4>
      </vt:variant>
      <vt:variant>
        <vt:i4>0</vt:i4>
      </vt:variant>
      <vt:variant>
        <vt:i4>5</vt:i4>
      </vt:variant>
      <vt:variant>
        <vt:lpwstr/>
      </vt:variant>
      <vt:variant>
        <vt:lpwstr>_Toc214899238</vt:lpwstr>
      </vt:variant>
      <vt:variant>
        <vt:i4>1310781</vt:i4>
      </vt:variant>
      <vt:variant>
        <vt:i4>14</vt:i4>
      </vt:variant>
      <vt:variant>
        <vt:i4>0</vt:i4>
      </vt:variant>
      <vt:variant>
        <vt:i4>5</vt:i4>
      </vt:variant>
      <vt:variant>
        <vt:lpwstr/>
      </vt:variant>
      <vt:variant>
        <vt:lpwstr>_Toc214899237</vt:lpwstr>
      </vt:variant>
      <vt:variant>
        <vt:i4>1310781</vt:i4>
      </vt:variant>
      <vt:variant>
        <vt:i4>8</vt:i4>
      </vt:variant>
      <vt:variant>
        <vt:i4>0</vt:i4>
      </vt:variant>
      <vt:variant>
        <vt:i4>5</vt:i4>
      </vt:variant>
      <vt:variant>
        <vt:lpwstr/>
      </vt:variant>
      <vt:variant>
        <vt:lpwstr>_Toc214899236</vt:lpwstr>
      </vt:variant>
      <vt:variant>
        <vt:i4>1310781</vt:i4>
      </vt:variant>
      <vt:variant>
        <vt:i4>2</vt:i4>
      </vt:variant>
      <vt:variant>
        <vt:i4>0</vt:i4>
      </vt:variant>
      <vt:variant>
        <vt:i4>5</vt:i4>
      </vt:variant>
      <vt:variant>
        <vt:lpwstr/>
      </vt:variant>
      <vt:variant>
        <vt:lpwstr>_Toc214899235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3</cp:revision>
  <cp:lastPrinted>2024-04-13T00:00:00Z</cp:lastPrinted>
  <dcterms:created xsi:type="dcterms:W3CDTF">2026-02-17T17:02:00Z</dcterms:created>
  <dcterms:modified xsi:type="dcterms:W3CDTF">2026-02-17T17:05:00Z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0x010100545FA437D71AB1419E85975EB4385CCD</vt:lpwstr>
  </property>
  <property fmtid="{D5CDD505-2E9C-101B-9397-08002B2CF9AE}" pid="3" name="MediaServiceImageTags">
    <vt:lpwstr/>
  </property>
</Properties>
</file>